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7BC8B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合力数智化财务系统建设项目招标公告</w:t>
      </w:r>
    </w:p>
    <w:p w14:paraId="59294F87">
      <w:pPr>
        <w:pStyle w:val="5"/>
        <w:spacing w:before="0" w:after="0" w:line="360" w:lineRule="auto"/>
        <w:rPr>
          <w:rFonts w:hint="eastAsia" w:ascii="仿宋" w:hAnsi="仿宋" w:eastAsia="仿宋" w:cs="仿宋"/>
          <w:color w:val="auto"/>
        </w:rPr>
      </w:pPr>
      <w:bookmarkStart w:id="0" w:name="_Toc151393372"/>
      <w:bookmarkStart w:id="1" w:name="_Toc19312"/>
      <w:bookmarkStart w:id="2" w:name="_Toc10879"/>
      <w:bookmarkStart w:id="3" w:name="_Toc6383"/>
      <w:bookmarkStart w:id="4" w:name="_Toc22903"/>
      <w:bookmarkStart w:id="5" w:name="_Toc25815"/>
      <w:bookmarkStart w:id="6" w:name="_Toc28908"/>
      <w:bookmarkStart w:id="7" w:name="_Toc10622"/>
      <w:bookmarkStart w:id="8" w:name="_Toc13283"/>
      <w:bookmarkStart w:id="9" w:name="_Toc26146"/>
      <w:r>
        <w:rPr>
          <w:rFonts w:hint="eastAsia" w:ascii="仿宋" w:hAnsi="仿宋" w:eastAsia="仿宋" w:cs="仿宋"/>
          <w:color w:val="auto"/>
        </w:rPr>
        <w:t>1.招标条件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889BF1C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4"/>
        </w:rPr>
      </w:pPr>
      <w:bookmarkStart w:id="10" w:name="_Toc2037"/>
      <w:bookmarkStart w:id="11" w:name="_Toc12572"/>
      <w:bookmarkStart w:id="12" w:name="_Toc21848"/>
      <w:bookmarkStart w:id="13" w:name="_Toc28404"/>
      <w:r>
        <w:rPr>
          <w:rFonts w:hint="eastAsia" w:ascii="仿宋" w:hAnsi="仿宋" w:eastAsia="仿宋" w:cs="仿宋"/>
          <w:color w:val="auto"/>
          <w:sz w:val="24"/>
          <w:szCs w:val="24"/>
        </w:rPr>
        <w:t>1.1 招标人：安徽合力股份有限公司</w:t>
      </w:r>
    </w:p>
    <w:p w14:paraId="3F66C261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1.2 招标代理机构：安徽省招标集团股份有限公司</w:t>
      </w:r>
    </w:p>
    <w:p w14:paraId="6458DBF5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1.3 招标项目名称：合力数智化财务系统建设项目</w:t>
      </w:r>
    </w:p>
    <w:p w14:paraId="63E3EB64">
      <w:pPr>
        <w:tabs>
          <w:tab w:val="center" w:pos="5113"/>
        </w:tabs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1.4 资金来源：自筹资金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</w:p>
    <w:p w14:paraId="222DB690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1.5 项目出资比例：100%</w:t>
      </w:r>
    </w:p>
    <w:p w14:paraId="55C9B341">
      <w:pPr>
        <w:tabs>
          <w:tab w:val="left" w:pos="6271"/>
        </w:tabs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1.6 资金落实情况：已落实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</w:p>
    <w:p w14:paraId="3F3B83AC">
      <w:pPr>
        <w:pStyle w:val="5"/>
        <w:spacing w:before="0" w:after="0" w:line="360" w:lineRule="auto"/>
        <w:rPr>
          <w:rFonts w:hint="eastAsia" w:ascii="仿宋" w:hAnsi="仿宋" w:eastAsia="仿宋" w:cs="仿宋"/>
          <w:color w:val="auto"/>
        </w:rPr>
      </w:pPr>
      <w:bookmarkStart w:id="14" w:name="_Toc1141"/>
      <w:bookmarkStart w:id="15" w:name="_Toc6237"/>
      <w:bookmarkStart w:id="16" w:name="_Toc15646"/>
      <w:bookmarkStart w:id="17" w:name="_Toc9254"/>
      <w:bookmarkStart w:id="18" w:name="_Toc151393373"/>
      <w:bookmarkStart w:id="19" w:name="_Toc27331"/>
      <w:bookmarkStart w:id="20" w:name="_Toc13326"/>
      <w:r>
        <w:rPr>
          <w:rFonts w:hint="eastAsia" w:ascii="仿宋" w:hAnsi="仿宋" w:eastAsia="仿宋" w:cs="仿宋"/>
          <w:color w:val="auto"/>
        </w:rPr>
        <w:t>2.项目概况与招标范围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77D0F822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2.1招标项目编号：GN2024-07-5709</w:t>
      </w:r>
    </w:p>
    <w:p w14:paraId="2060462C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2.2 标包划分：本项目不划分标包</w:t>
      </w:r>
    </w:p>
    <w:p w14:paraId="15FCB92D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2.3招标范围：本项目旨在推进合力国际化战略，加快建设世界一流的财务管理体系，深化财务管理与信息系统的深度融合，落实国家数电发票、司库建设、电子凭证会计数据标准等有关文件要求。本项目实施范围为安徽叉车集团有限责任公司及下辖分子公司，分布在中国、泰国、美国、法国、德国、阿联酋、澳大利亚、乌拉圭等国家。中标人需提供“税务管理系统（含数电票）、电子会计档案系统、司库系统、费用报销系统”四套系统的一体化设计、建设、交付、知识转移及后期运维。系统需符合使用地所在国家数据合规相关要求。中标人需同步负责完成系统与招标人现有系统的对接，包括SAP ERP（ECC版本、S</w:t>
      </w:r>
      <w:r>
        <w:rPr>
          <w:rFonts w:ascii="仿宋" w:hAnsi="仿宋" w:eastAsia="仿宋" w:cs="仿宋"/>
          <w:color w:val="auto"/>
          <w:sz w:val="24"/>
          <w:szCs w:val="24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4版本）、SRM、OA、CRM、企业微信等，负责完成与国内外银行、税务、国资监管等外部接口的对接。投标人需完成招标人集团公司及集团下属单位财务核算软件的替换（根据实际需要），主要功能包含但不限于总账、报表、固定资产、薪酬等功能。</w:t>
      </w:r>
    </w:p>
    <w:p w14:paraId="45A1E7C0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2.4 交货及安装周期：项目实施建设周期为12个月。</w:t>
      </w:r>
    </w:p>
    <w:p w14:paraId="3E3AE61D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2.5 交货及安装地点：安徽合肥，招标人指定地点。</w:t>
      </w:r>
    </w:p>
    <w:p w14:paraId="7E46D1B8">
      <w:pPr>
        <w:spacing w:line="360" w:lineRule="auto"/>
        <w:ind w:firstLine="480" w:firstLineChars="200"/>
        <w:rPr>
          <w:rFonts w:hint="eastAsia" w:ascii="仿宋" w:hAnsi="仿宋" w:eastAsia="仿宋" w:cs="仿宋"/>
          <w:b/>
          <w:color w:val="auto"/>
          <w:sz w:val="32"/>
          <w:szCs w:val="20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2.6 其他：</w:t>
      </w:r>
      <w:bookmarkStart w:id="21" w:name="_Toc17422"/>
      <w:bookmarkStart w:id="22" w:name="_Toc15916"/>
      <w:bookmarkStart w:id="23" w:name="_Toc24865"/>
      <w:bookmarkStart w:id="24" w:name="_Toc7298"/>
      <w:bookmarkStart w:id="25" w:name="_Toc14482"/>
      <w:bookmarkStart w:id="26" w:name="_Toc151393374"/>
      <w:r>
        <w:rPr>
          <w:rFonts w:hint="eastAsia" w:ascii="仿宋" w:hAnsi="仿宋" w:eastAsia="仿宋" w:cs="仿宋"/>
          <w:color w:val="auto"/>
          <w:sz w:val="24"/>
          <w:szCs w:val="24"/>
        </w:rPr>
        <w:t>/</w:t>
      </w:r>
    </w:p>
    <w:p w14:paraId="4DB2B163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color w:val="auto"/>
          <w:sz w:val="32"/>
          <w:szCs w:val="20"/>
        </w:rPr>
      </w:pPr>
      <w:r>
        <w:rPr>
          <w:rFonts w:hint="eastAsia" w:ascii="仿宋" w:hAnsi="仿宋" w:eastAsia="仿宋" w:cs="仿宋"/>
          <w:b/>
          <w:color w:val="auto"/>
          <w:sz w:val="32"/>
          <w:szCs w:val="20"/>
        </w:rPr>
        <w:t>资格审查方式</w:t>
      </w:r>
    </w:p>
    <w:p w14:paraId="6CAAC4CC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资格后审</w:t>
      </w:r>
    </w:p>
    <w:p w14:paraId="3892635E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color w:val="auto"/>
          <w:sz w:val="32"/>
          <w:szCs w:val="20"/>
        </w:rPr>
      </w:pPr>
      <w:r>
        <w:rPr>
          <w:rFonts w:hint="eastAsia" w:ascii="仿宋" w:hAnsi="仿宋" w:eastAsia="仿宋" w:cs="仿宋"/>
          <w:b/>
          <w:color w:val="auto"/>
          <w:sz w:val="32"/>
          <w:szCs w:val="20"/>
        </w:rPr>
        <w:t>投标人资格要求</w:t>
      </w:r>
      <w:bookmarkEnd w:id="21"/>
      <w:bookmarkEnd w:id="22"/>
      <w:bookmarkEnd w:id="23"/>
      <w:bookmarkEnd w:id="24"/>
      <w:bookmarkEnd w:id="25"/>
      <w:bookmarkEnd w:id="26"/>
    </w:p>
    <w:p w14:paraId="1191D12B"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4.1 资质要求：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投标人须为中国境内注册具有独立法人资格的所投产品原厂商，营业执照合格有效。（须提供营业执照扫描件）</w:t>
      </w:r>
    </w:p>
    <w:p w14:paraId="0485273E">
      <w:pPr>
        <w:spacing w:line="360" w:lineRule="auto"/>
        <w:ind w:firstLine="42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4.2 投标人业绩要求：</w:t>
      </w:r>
      <w:bookmarkStart w:id="27" w:name="_Hlk178506639"/>
      <w:bookmarkStart w:id="28" w:name="_Hlk178506724"/>
      <w:r>
        <w:rPr>
          <w:rFonts w:hint="eastAsia" w:ascii="仿宋" w:hAnsi="仿宋" w:eastAsia="仿宋" w:cs="仿宋"/>
          <w:color w:val="auto"/>
          <w:sz w:val="24"/>
          <w:szCs w:val="24"/>
        </w:rPr>
        <w:t>自202</w:t>
      </w:r>
      <w:r>
        <w:rPr>
          <w:rFonts w:ascii="仿宋" w:hAnsi="仿宋" w:eastAsia="仿宋" w:cs="仿宋"/>
          <w:color w:val="auto"/>
          <w:sz w:val="24"/>
          <w:szCs w:val="24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年1月1日至今（以合同签订时间为准），投标人至少具有1个类似项目实施案例。（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（1）类似项目实施案例定义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是指项目合同中须包含税务管理系统（含数电票）、电子会计档案系统、司库系统、费用报销系统建设内容，上述4个系统不限于同一个合同。上述系统的使用对象至少应覆盖中国、泰国、美国、法国、德国、阿联酋、澳大利亚、乌拉圭。同时上述4个系统具有与SAP ERP管理信息系统及国内外金融机构信息系统的集成经验。</w:t>
      </w:r>
      <w:bookmarkEnd w:id="27"/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（2）业绩证明材料要求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投标人须提供业绩合同扫描件（合同扫描件中至少包含合同内容及签字盖章页）及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业主验收证明文件或其他能够体现评审因素的业主证明材料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。）</w:t>
      </w:r>
    </w:p>
    <w:bookmarkEnd w:id="28"/>
    <w:p w14:paraId="15E282E4">
      <w:pPr>
        <w:spacing w:line="360" w:lineRule="auto"/>
        <w:ind w:firstLine="482" w:firstLineChars="200"/>
        <w:jc w:val="left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4.3 财务要求：</w:t>
      </w:r>
      <w:bookmarkStart w:id="29" w:name="_Hlk178506775"/>
      <w:r>
        <w:rPr>
          <w:rFonts w:hint="eastAsia" w:ascii="仿宋" w:hAnsi="仿宋" w:eastAsia="仿宋" w:cs="仿宋"/>
          <w:color w:val="auto"/>
          <w:sz w:val="24"/>
          <w:szCs w:val="24"/>
        </w:rPr>
        <w:t>投标人应具有良好的银行资信、商业信誉和财务状况，投标人没有处于被责令停业及财产被接管、冻结、破产的状态（投标人须在投标文件中提供相应承诺）。</w:t>
      </w:r>
      <w:bookmarkEnd w:id="29"/>
    </w:p>
    <w:p w14:paraId="4CDD299F">
      <w:pPr>
        <w:spacing w:line="360" w:lineRule="auto"/>
        <w:ind w:firstLine="482" w:firstLineChars="200"/>
        <w:jc w:val="left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4.</w:t>
      </w:r>
      <w:r>
        <w:rPr>
          <w:rFonts w:ascii="仿宋" w:hAnsi="仿宋" w:eastAsia="仿宋" w:cs="仿宋"/>
          <w:b/>
          <w:bCs/>
          <w:color w:val="auto"/>
          <w:sz w:val="24"/>
          <w:szCs w:val="24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实施团队要求：</w:t>
      </w:r>
      <w:bookmarkStart w:id="30" w:name="_Hlk178506785"/>
      <w:r>
        <w:rPr>
          <w:rFonts w:hint="eastAsia" w:ascii="仿宋" w:hAnsi="仿宋" w:eastAsia="仿宋" w:cs="仿宋"/>
          <w:color w:val="auto"/>
          <w:sz w:val="24"/>
          <w:szCs w:val="24"/>
        </w:rPr>
        <w:t>投标人需承诺本项目的实施团队人员应以投标人总部人员为主，且总部人员数量占比不得少于5</w:t>
      </w:r>
      <w:r>
        <w:rPr>
          <w:rFonts w:ascii="仿宋" w:hAnsi="仿宋" w:eastAsia="仿宋" w:cs="仿宋"/>
          <w:color w:val="auto"/>
          <w:sz w:val="24"/>
          <w:szCs w:val="24"/>
        </w:rPr>
        <w:t>0%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（投标人须在投标文件中提供相应承诺）。</w:t>
      </w:r>
    </w:p>
    <w:bookmarkEnd w:id="30"/>
    <w:p w14:paraId="1803AE4B"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4</w:t>
      </w:r>
      <w:r>
        <w:rPr>
          <w:rFonts w:ascii="仿宋" w:hAnsi="仿宋" w:eastAsia="仿宋" w:cs="仿宋"/>
          <w:b/>
          <w:bCs/>
          <w:color w:val="auto"/>
          <w:sz w:val="24"/>
          <w:szCs w:val="24"/>
        </w:rPr>
        <w:t>.5</w:t>
      </w:r>
      <w:bookmarkStart w:id="31" w:name="_Hlk178506795"/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本项目所涉及产品须为同一厂商、统一平台的成熟产品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（投标人须在投标文件中提供相应承诺）。</w:t>
      </w:r>
    </w:p>
    <w:bookmarkEnd w:id="31"/>
    <w:p w14:paraId="2DB88BEC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snapToGrid w:val="0"/>
          <w:color w:va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4.</w:t>
      </w:r>
      <w:r>
        <w:rPr>
          <w:rFonts w:ascii="仿宋" w:hAnsi="仿宋" w:eastAsia="仿宋" w:cs="仿宋"/>
          <w:color w:val="auto"/>
          <w:sz w:val="24"/>
          <w:szCs w:val="24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本招标项目不接受联合体投标。</w:t>
      </w:r>
    </w:p>
    <w:p w14:paraId="1D7CAAE5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4.</w:t>
      </w:r>
      <w:r>
        <w:rPr>
          <w:rFonts w:ascii="仿宋" w:hAnsi="仿宋" w:eastAsia="仿宋" w:cs="仿宋"/>
          <w:color w:val="auto"/>
          <w:sz w:val="24"/>
          <w:szCs w:val="24"/>
        </w:rPr>
        <w:t>7</w:t>
      </w:r>
      <w:bookmarkStart w:id="32" w:name="_Hlk178506815"/>
      <w:r>
        <w:rPr>
          <w:rFonts w:hint="eastAsia" w:ascii="仿宋" w:hAnsi="仿宋" w:eastAsia="仿宋" w:cs="仿宋"/>
          <w:color w:val="auto"/>
          <w:sz w:val="24"/>
          <w:szCs w:val="24"/>
        </w:rPr>
        <w:t>投标人不得存在招标文件第二章投标人须知第1.4.3项、第1.4.4项规定的情形。</w:t>
      </w:r>
      <w:bookmarkEnd w:id="32"/>
    </w:p>
    <w:p w14:paraId="4E68873F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4.</w:t>
      </w:r>
      <w:r>
        <w:rPr>
          <w:rFonts w:ascii="仿宋" w:hAnsi="仿宋" w:eastAsia="仿宋" w:cs="仿宋"/>
          <w:color w:val="auto"/>
          <w:sz w:val="24"/>
          <w:szCs w:val="24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其他要求：/</w:t>
      </w:r>
    </w:p>
    <w:p w14:paraId="25D3B65C">
      <w:pPr>
        <w:pStyle w:val="5"/>
        <w:spacing w:before="0" w:after="0" w:line="360" w:lineRule="auto"/>
        <w:rPr>
          <w:rFonts w:hint="eastAsia" w:ascii="仿宋" w:hAnsi="仿宋" w:eastAsia="仿宋" w:cs="仿宋"/>
          <w:color w:val="auto"/>
        </w:rPr>
      </w:pPr>
      <w:bookmarkStart w:id="33" w:name="_Toc30329"/>
      <w:bookmarkStart w:id="34" w:name="_Toc151393375"/>
      <w:bookmarkStart w:id="35" w:name="_Toc23947"/>
      <w:bookmarkStart w:id="36" w:name="_Toc9057"/>
      <w:bookmarkStart w:id="37" w:name="_Toc28395"/>
      <w:bookmarkStart w:id="38" w:name="_Toc23034"/>
      <w:r>
        <w:rPr>
          <w:rFonts w:hint="eastAsia" w:ascii="仿宋" w:hAnsi="仿宋" w:eastAsia="仿宋" w:cs="仿宋"/>
          <w:color w:val="auto"/>
        </w:rPr>
        <w:t>5. 招标文件的获取</w:t>
      </w:r>
      <w:bookmarkEnd w:id="33"/>
      <w:bookmarkEnd w:id="34"/>
      <w:bookmarkEnd w:id="35"/>
      <w:bookmarkEnd w:id="36"/>
      <w:bookmarkEnd w:id="37"/>
      <w:bookmarkEnd w:id="38"/>
    </w:p>
    <w:p w14:paraId="6248E883">
      <w:pPr>
        <w:tabs>
          <w:tab w:val="left" w:pos="360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5.1获取时间：2024年9月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日至2024年10月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日9时00分。</w:t>
      </w:r>
    </w:p>
    <w:p w14:paraId="417CFCB7">
      <w:pPr>
        <w:tabs>
          <w:tab w:val="left" w:pos="360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5.2获取方式：凡有意参加投标者，请在第6.1款规定时间内登录“优质采云采购平台”</w: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</w:rPr>
        <w:instrText xml:space="preserve"> HYPERLINK "http://www.youzhicai.com）购买并下载招标文件。" </w:instrTex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szCs w:val="24"/>
        </w:rPr>
        <w:t>（http://www.youzhicai.com/）购买并下载招标文件。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end"/>
      </w:r>
    </w:p>
    <w:p w14:paraId="2DA5C8FB">
      <w:pPr>
        <w:tabs>
          <w:tab w:val="left" w:pos="360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售价：详见优质采云采购平台，售后不退。</w:t>
      </w:r>
    </w:p>
    <w:p w14:paraId="5B86EA41">
      <w:pPr>
        <w:pStyle w:val="5"/>
        <w:spacing w:before="0" w:after="0" w:line="360" w:lineRule="auto"/>
        <w:rPr>
          <w:rFonts w:hint="eastAsia" w:ascii="仿宋" w:hAnsi="仿宋" w:eastAsia="仿宋" w:cs="仿宋"/>
          <w:b w:val="0"/>
          <w:color w:val="auto"/>
          <w:sz w:val="24"/>
        </w:rPr>
      </w:pPr>
      <w:bookmarkStart w:id="39" w:name="_Toc6160"/>
      <w:bookmarkStart w:id="40" w:name="_Toc13489"/>
      <w:bookmarkStart w:id="41" w:name="_Toc28603"/>
      <w:bookmarkStart w:id="42" w:name="_Toc151393376"/>
      <w:bookmarkStart w:id="43" w:name="_Toc5823"/>
      <w:bookmarkStart w:id="44" w:name="_Toc26386"/>
      <w:r>
        <w:rPr>
          <w:rFonts w:hint="eastAsia" w:ascii="仿宋" w:hAnsi="仿宋" w:eastAsia="仿宋" w:cs="仿宋"/>
          <w:color w:val="auto"/>
        </w:rPr>
        <w:t>6. 投标文件的递交</w:t>
      </w:r>
      <w:bookmarkEnd w:id="39"/>
      <w:bookmarkEnd w:id="40"/>
      <w:bookmarkEnd w:id="41"/>
      <w:bookmarkEnd w:id="42"/>
      <w:bookmarkEnd w:id="43"/>
      <w:bookmarkEnd w:id="44"/>
    </w:p>
    <w:p w14:paraId="4A7204EE">
      <w:pPr>
        <w:tabs>
          <w:tab w:val="left" w:pos="360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6.1投标文件递交截止时间（投标截止时间，下同）：2024年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日9时30分。</w:t>
      </w:r>
    </w:p>
    <w:p w14:paraId="571F8919">
      <w:pPr>
        <w:tabs>
          <w:tab w:val="left" w:pos="360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6.2投标文件递交地点：通过 “优质采云采购平台”（http://www.youzhicai.com/）递交；</w:t>
      </w:r>
      <w:bookmarkStart w:id="45" w:name="_Toc1903"/>
      <w:bookmarkStart w:id="46" w:name="_Toc151393377"/>
      <w:bookmarkStart w:id="47" w:name="_Toc11971"/>
      <w:bookmarkStart w:id="48" w:name="_Toc5616"/>
      <w:bookmarkStart w:id="49" w:name="_Toc11859"/>
      <w:bookmarkStart w:id="50" w:name="_Toc31939"/>
    </w:p>
    <w:p w14:paraId="2C64756C">
      <w:pPr>
        <w:pStyle w:val="5"/>
        <w:spacing w:before="0" w:after="0" w:line="360" w:lineRule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7. 开标时间及地点</w:t>
      </w:r>
      <w:bookmarkEnd w:id="45"/>
      <w:bookmarkEnd w:id="46"/>
      <w:bookmarkEnd w:id="47"/>
      <w:bookmarkEnd w:id="48"/>
      <w:bookmarkEnd w:id="49"/>
      <w:bookmarkEnd w:id="50"/>
    </w:p>
    <w:p w14:paraId="34E77592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7.1 开标时间：同投标文件递交截止时间。</w:t>
      </w:r>
    </w:p>
    <w:p w14:paraId="4D5AD50C">
      <w:pPr>
        <w:tabs>
          <w:tab w:val="left" w:pos="360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7.2 开标地点：</w:t>
      </w:r>
    </w:p>
    <w:p w14:paraId="46FA1A24">
      <w:pPr>
        <w:tabs>
          <w:tab w:val="left" w:pos="360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☑加密投标文件通过“优质采云采购平台”（http://www.youzhicai.com/）递交；</w:t>
      </w:r>
    </w:p>
    <w:p w14:paraId="23358515">
      <w:pPr>
        <w:tabs>
          <w:tab w:val="left" w:pos="360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snapToGrid w:val="0"/>
          <w:color w:val="auto"/>
          <w:kern w:val="0"/>
          <w:szCs w:val="21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☑非加密投标文件递交地点：安徽省合肥市包河大道236号安徽省招标集团大厦2楼第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开标室。</w:t>
      </w:r>
    </w:p>
    <w:p w14:paraId="3A9833FA">
      <w:pPr>
        <w:pStyle w:val="5"/>
        <w:spacing w:before="0" w:after="0" w:line="360" w:lineRule="auto"/>
        <w:rPr>
          <w:rFonts w:hint="eastAsia" w:ascii="仿宋" w:hAnsi="仿宋" w:eastAsia="仿宋" w:cs="仿宋"/>
          <w:color w:val="auto"/>
        </w:rPr>
      </w:pPr>
      <w:bookmarkStart w:id="51" w:name="_Toc7689"/>
      <w:bookmarkStart w:id="52" w:name="_Toc21354"/>
      <w:bookmarkStart w:id="53" w:name="_Toc10580"/>
      <w:bookmarkStart w:id="54" w:name="_Toc26582"/>
      <w:bookmarkStart w:id="55" w:name="_Toc151393378"/>
      <w:bookmarkStart w:id="56" w:name="_Toc24047"/>
      <w:r>
        <w:rPr>
          <w:rFonts w:hint="eastAsia" w:ascii="仿宋" w:hAnsi="仿宋" w:eastAsia="仿宋" w:cs="仿宋"/>
          <w:color w:val="auto"/>
        </w:rPr>
        <w:t>8. 发布公告的媒介</w:t>
      </w:r>
      <w:bookmarkEnd w:id="51"/>
      <w:bookmarkEnd w:id="52"/>
      <w:bookmarkEnd w:id="53"/>
      <w:bookmarkEnd w:id="54"/>
      <w:bookmarkEnd w:id="55"/>
      <w:bookmarkEnd w:id="56"/>
    </w:p>
    <w:p w14:paraId="3A9CD409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本次招标公告同时在安徽省招标投标信息网（</w:t>
      </w:r>
      <w:r>
        <w:rPr>
          <w:rFonts w:hint="eastAsia" w:ascii="Times New Roman" w:hAnsi="Times New Roman"/>
          <w:color w:val="auto"/>
          <w:sz w:val="24"/>
          <w:szCs w:val="24"/>
          <w:shd w:val="clear" w:color="auto" w:fill="FFFFFF"/>
        </w:rPr>
        <w:t>www.ahtba.org.cn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）、中国招标投标公共服务平台（</w:t>
      </w:r>
      <w:r>
        <w:rPr>
          <w:rFonts w:hint="eastAsia" w:ascii="Times New Roman" w:hAnsi="Times New Roman"/>
          <w:color w:val="auto"/>
          <w:sz w:val="24"/>
          <w:szCs w:val="24"/>
          <w:shd w:val="clear" w:color="auto" w:fill="FFFFFF"/>
        </w:rPr>
        <w:t>www.cebpubservice.com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）、中国采购与招标网（</w:t>
      </w:r>
      <w:r>
        <w:rPr>
          <w:rFonts w:hint="eastAsia" w:ascii="Times New Roman" w:hAnsi="Times New Roman"/>
          <w:color w:val="auto"/>
          <w:sz w:val="24"/>
          <w:szCs w:val="24"/>
          <w:shd w:val="clear" w:color="auto" w:fill="FFFFFF"/>
        </w:rPr>
        <w:t>www.chinabidding.com.cn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</w:t>
      </w:r>
      <w:r>
        <w:rPr>
          <w:rFonts w:ascii="仿宋" w:hAnsi="仿宋" w:eastAsia="仿宋" w:cs="仿宋"/>
          <w:color w:val="auto"/>
          <w:sz w:val="24"/>
          <w:szCs w:val="24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优质采招标采购平台（</w:t>
      </w:r>
      <w:r>
        <w:rPr>
          <w:rFonts w:ascii="Times New Roman" w:hAnsi="Times New Roman" w:eastAsia="仿宋"/>
          <w:color w:val="auto"/>
          <w:sz w:val="24"/>
          <w:szCs w:val="24"/>
          <w:shd w:val="clear" w:color="auto" w:fill="FFFFFF"/>
        </w:rPr>
        <w:t>www.yzczb.com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）和优质采云采购平台（</w:t>
      </w:r>
      <w:r>
        <w:rPr>
          <w:rFonts w:ascii="Times New Roman" w:hAnsi="Times New Roman" w:eastAsia="仿宋"/>
          <w:color w:val="auto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www.youzhicai.com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）上同步发布。</w:t>
      </w:r>
      <w:bookmarkStart w:id="57" w:name="_Toc27545"/>
      <w:bookmarkStart w:id="58" w:name="_Toc1076"/>
      <w:bookmarkStart w:id="59" w:name="_Toc151393379"/>
      <w:bookmarkStart w:id="60" w:name="_Toc6281"/>
      <w:bookmarkStart w:id="61" w:name="_Toc11851"/>
      <w:bookmarkStart w:id="62" w:name="_Toc27358"/>
    </w:p>
    <w:p w14:paraId="0FF23701">
      <w:pPr>
        <w:pStyle w:val="5"/>
        <w:spacing w:before="0" w:after="0" w:line="360" w:lineRule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9. 联系方式</w:t>
      </w:r>
      <w:bookmarkEnd w:id="57"/>
      <w:bookmarkEnd w:id="58"/>
      <w:bookmarkEnd w:id="59"/>
      <w:bookmarkEnd w:id="60"/>
      <w:bookmarkEnd w:id="61"/>
      <w:bookmarkEnd w:id="62"/>
    </w:p>
    <w:p w14:paraId="5F0FD0D2">
      <w:pPr>
        <w:snapToGrid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bookmarkStart w:id="63" w:name="_Toc369531497"/>
      <w:bookmarkEnd w:id="63"/>
      <w:bookmarkStart w:id="64" w:name="_Toc384308185"/>
      <w:bookmarkEnd w:id="64"/>
      <w:bookmarkStart w:id="65" w:name="_Toc361508560"/>
      <w:bookmarkEnd w:id="65"/>
      <w:bookmarkStart w:id="66" w:name="_Toc247527536"/>
      <w:bookmarkEnd w:id="66"/>
      <w:bookmarkStart w:id="67" w:name="_Toc384308187"/>
      <w:bookmarkEnd w:id="67"/>
      <w:bookmarkStart w:id="68" w:name="_Toc361508563"/>
      <w:bookmarkEnd w:id="68"/>
      <w:bookmarkStart w:id="69" w:name="_Toc152042289"/>
      <w:bookmarkEnd w:id="69"/>
      <w:bookmarkStart w:id="70" w:name="_Toc152042288"/>
      <w:bookmarkEnd w:id="70"/>
      <w:bookmarkStart w:id="71" w:name="_Toc247527535"/>
      <w:bookmarkEnd w:id="71"/>
      <w:bookmarkStart w:id="72" w:name="_Toc30817"/>
      <w:bookmarkEnd w:id="72"/>
      <w:bookmarkStart w:id="73" w:name="_Toc144974481"/>
      <w:bookmarkEnd w:id="73"/>
      <w:bookmarkStart w:id="74" w:name="_Toc144974480"/>
      <w:bookmarkEnd w:id="74"/>
      <w:bookmarkStart w:id="75" w:name="_Toc300834930"/>
      <w:bookmarkEnd w:id="75"/>
      <w:bookmarkStart w:id="76" w:name="_Toc352691453"/>
      <w:bookmarkEnd w:id="76"/>
      <w:bookmarkStart w:id="77" w:name="_Toc352691456"/>
      <w:bookmarkEnd w:id="77"/>
      <w:bookmarkStart w:id="78" w:name="_Toc384308188"/>
      <w:bookmarkEnd w:id="78"/>
      <w:bookmarkStart w:id="79" w:name="_Toc17972"/>
      <w:bookmarkEnd w:id="79"/>
      <w:bookmarkStart w:id="80" w:name="_Toc247513934"/>
      <w:bookmarkEnd w:id="80"/>
      <w:bookmarkStart w:id="81" w:name="_Toc369531495"/>
      <w:bookmarkEnd w:id="81"/>
      <w:bookmarkStart w:id="82" w:name="_Toc361508562"/>
      <w:bookmarkEnd w:id="82"/>
      <w:bookmarkStart w:id="83" w:name="_Toc300834929"/>
      <w:bookmarkEnd w:id="83"/>
      <w:bookmarkStart w:id="84" w:name="_Toc247513935"/>
      <w:bookmarkEnd w:id="84"/>
      <w:bookmarkStart w:id="85" w:name="_Toc300834927"/>
      <w:bookmarkEnd w:id="85"/>
      <w:bookmarkStart w:id="86" w:name="_Toc152045512"/>
      <w:bookmarkEnd w:id="86"/>
      <w:bookmarkStart w:id="87" w:name="_Toc352691455"/>
      <w:bookmarkEnd w:id="87"/>
      <w:bookmarkStart w:id="88" w:name="_Toc369531498"/>
      <w:bookmarkEnd w:id="88"/>
      <w:bookmarkStart w:id="89" w:name="_Toc10785"/>
      <w:bookmarkEnd w:id="89"/>
      <w:bookmarkStart w:id="90" w:name="_Toc152045513"/>
      <w:bookmarkEnd w:id="90"/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9.1招标人</w:t>
      </w:r>
    </w:p>
    <w:p w14:paraId="477B4F1E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招 标 人：安徽合力股份有限公司</w:t>
      </w:r>
    </w:p>
    <w:p w14:paraId="3F3EBF9F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    址：安徽省合肥市方兴大道668号</w:t>
      </w:r>
    </w:p>
    <w:p w14:paraId="4D2349E8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91" w:name="_Hlk166540210"/>
      <w:r>
        <w:rPr>
          <w:rFonts w:hint="eastAsia" w:ascii="仿宋" w:hAnsi="仿宋" w:eastAsia="仿宋" w:cs="仿宋"/>
          <w:color w:val="auto"/>
          <w:sz w:val="24"/>
          <w:szCs w:val="24"/>
        </w:rPr>
        <w:t>联 系 人：王工</w:t>
      </w:r>
    </w:p>
    <w:p w14:paraId="46C63B41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电    话：0551-63689519</w:t>
      </w:r>
    </w:p>
    <w:bookmarkEnd w:id="91"/>
    <w:p w14:paraId="5D9FFB30">
      <w:pPr>
        <w:snapToGrid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9.2招标代理机构</w:t>
      </w:r>
    </w:p>
    <w:p w14:paraId="7D8EED66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招标代理机构：安徽省招标集团股份有限公司</w:t>
      </w:r>
    </w:p>
    <w:p w14:paraId="4633E87C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    址：安徽省合肥市包河大道236号</w:t>
      </w:r>
    </w:p>
    <w:p w14:paraId="16EF7AB2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联 系 人：王瑜秀、王伟  </w:t>
      </w:r>
    </w:p>
    <w:p w14:paraId="256ED1CF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电    话：0551-62220270、62220273、19966468545</w:t>
      </w:r>
    </w:p>
    <w:p w14:paraId="5106110E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邮    箱：zhaobiao7@ah-inter.com  </w:t>
      </w:r>
    </w:p>
    <w:p w14:paraId="791BA992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注：应急客服电话：0551-62220153（接听时间：8:30-12:00，13:30-17:30，节假日除外。潜在投标人应优先拨打项目联系人联系电话，无人接听时再拨打该“应急客服电话”）</w:t>
      </w:r>
      <w:bookmarkStart w:id="92" w:name="_Toc24569"/>
      <w:bookmarkStart w:id="93" w:name="_Toc18781"/>
      <w:bookmarkStart w:id="94" w:name="_Toc11512"/>
      <w:bookmarkStart w:id="95" w:name="_Toc151393380"/>
      <w:bookmarkStart w:id="96" w:name="_Toc20546"/>
      <w:bookmarkStart w:id="97" w:name="_Toc27066"/>
    </w:p>
    <w:p w14:paraId="5A33BB19">
      <w:pPr>
        <w:pStyle w:val="5"/>
        <w:spacing w:before="0" w:after="0" w:line="360" w:lineRule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10. 其他事项说明</w:t>
      </w:r>
      <w:bookmarkEnd w:id="92"/>
      <w:bookmarkEnd w:id="93"/>
      <w:bookmarkEnd w:id="94"/>
      <w:bookmarkEnd w:id="95"/>
      <w:bookmarkEnd w:id="96"/>
      <w:bookmarkEnd w:id="97"/>
    </w:p>
    <w:p w14:paraId="09BBF451">
      <w:pPr>
        <w:widowControl/>
        <w:topLinePunct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1）潜在投标人须登录“优质采云采购平台”（网址：https://www.youzhicai.com/，以下称“优质采平台”）参与本项目采购活动。首次登录须办理注册手续，请务必选择注册为“投标人角色”类型。注册流程见优质采平台“用户注册”栏目，咨询电话：400-0099-555。因未及时办理注册手续影响参加采购活动的，责任自负。</w:t>
      </w:r>
    </w:p>
    <w:p w14:paraId="14D43345">
      <w:pPr>
        <w:widowControl/>
        <w:topLinePunct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2）已注册的潜在投标人可登录优质采平台获取采购文件，本项目的采购文件及其他资料（含澄清、答疑及相关补充文件）通过优质采平台发布，采购人/代理机构不再另行书面通知，潜在投标人应及时关注、查阅优质采平台。因未及时查看导致不利后果的，责任自负。</w:t>
      </w:r>
    </w:p>
    <w:p w14:paraId="7BA3F2E0">
      <w:pPr>
        <w:widowControl/>
        <w:topLinePunct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（3）已注册的潜在投标人若注册信息发生变更（如：与初始注册信息不一致），应及时网上提交变更申请。因未及时变更导致不利后果的，责任自负。</w:t>
      </w:r>
    </w:p>
    <w:p w14:paraId="54BB5792">
      <w:pPr>
        <w:widowControl/>
        <w:topLinePunct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（4）本项目采用全流程电子化采购方式，潜在投标人须办理CA数字证书（以下简称CA），CA用于电子投标文件的签章及上传（上传投标文件需使用CA进行加密）；CA办理详见《关于优质采平台数字证书办理的须知》   </w:t>
      </w:r>
    </w:p>
    <w:p w14:paraId="722F5973">
      <w:pPr>
        <w:widowControl/>
        <w:topLinePunct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（http://www.youzhicai.com/nd/a_8f80a7ec-911f-4c4d-a123-f8849880f045.html）；咨询热线：400-0099-555。</w:t>
      </w:r>
    </w:p>
    <w:p w14:paraId="5604341B">
      <w:pPr>
        <w:widowControl/>
        <w:topLinePunct/>
        <w:adjustRightIn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（5）电子投标文件必须使用“优质采投标工具客户端”制作生成并上传。下载地址：http://toolcdn.youzhicai.com/tools/BidderTools.zip，使用说明书及视频教程下载地址： http://file.youzhicai.com/files/BidderHelp.rar。</w:t>
      </w:r>
    </w:p>
    <w:p w14:paraId="41F368F2">
      <w:bookmarkStart w:id="98" w:name="_GoBack"/>
      <w:bookmarkEnd w:id="9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YjcxYjYwM2MzYzlmMjQwYjI5ZDE2OGM2NmZkNjkifQ=="/>
  </w:docVars>
  <w:rsids>
    <w:rsidRoot w:val="643163E5"/>
    <w:rsid w:val="6431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mbria Math" w:hAnsi="Cambria Math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等线 Light" w:hAnsi="等线 Light" w:eastAsia="Arial" w:cs="Times New Roman"/>
      <w:b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078"/>
        <w:tab w:val="left" w:pos="1176"/>
        <w:tab w:val="left" w:pos="1638"/>
        <w:tab w:val="left" w:pos="3920"/>
        <w:tab w:val="left" w:pos="5670"/>
      </w:tabs>
      <w:adjustRightInd w:val="0"/>
      <w:spacing w:before="120" w:beforeLines="0" w:after="180" w:afterLines="0" w:line="312" w:lineRule="auto"/>
      <w:ind w:firstLine="200" w:firstLineChars="200"/>
    </w:pPr>
    <w:rPr>
      <w:rFonts w:ascii="等线 Light" w:hAnsi="等线 Light" w:eastAsia="宋体" w:cs="Times New Roman"/>
      <w:sz w:val="28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Courier New" w:hAnsi="Courier New" w:eastAsia="宋体" w:cs="Times New Roman"/>
      <w:bCs/>
      <w:sz w:val="28"/>
      <w:szCs w:val="32"/>
    </w:rPr>
  </w:style>
  <w:style w:type="paragraph" w:customStyle="1" w:styleId="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jc w:val="center"/>
      <w:textAlignment w:val="center"/>
    </w:pPr>
    <w:rPr>
      <w:rFonts w:ascii="等线 Light" w:hAnsi="等线 Light" w:eastAsia="宋体" w:cs="等线 Light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2024-09-30T05:57:00Z</dcterms:created>
  <dc:creator>初审-王瑜秀</dc:creator>
  <cp:lastModifiedBy>初审-王瑜秀</cp:lastModifiedBy>
  <dcterms:modified xsi:type="dcterms:W3CDTF">2024-09-30T05:58:31Z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2F3CFF1F41684728908A2F3080244734_11</vt:lpwstr>
  </property>
</Properties>
</file>