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464D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蚌埠液力机械有限公司扩建及智能制造基地建设项目二期厂房监理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bookmarkEnd w:id="0"/>
    <w:p w14:paraId="465045B5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</w:t>
      </w:r>
    </w:p>
    <w:p w14:paraId="2FEC93DE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一、安徽省招标集团股份有限公司受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蚌埠液力机械有限公司委托，就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蚌埠液力机械有限公司扩建及智能制造基地建设项目二期厂房监理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GN2025-07-6999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）进行招标。本项目于2025年10月13日10时00分，在安徽省招标集团股份有限公司公开开标，经评标委员会评审，现将中标候选人公示如下：</w:t>
      </w:r>
    </w:p>
    <w:p w14:paraId="18580E6E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2"/>
          <w:szCs w:val="12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蚌埠液力机械有限公司扩建及智能制造基地建设项目二期厂房监理</w:t>
      </w:r>
    </w:p>
    <w:p w14:paraId="16F0875C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2"/>
          <w:szCs w:val="1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GN2025-07-6999</w:t>
      </w:r>
    </w:p>
    <w:p w14:paraId="67CCD2F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蚌埠液力机械有限公司扩建及智能制造基地建设项目二期厂房监理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，详见招标文件。</w:t>
      </w:r>
    </w:p>
    <w:p w14:paraId="5B9267A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4、中标候选人情况：</w:t>
      </w:r>
    </w:p>
    <w:p w14:paraId="15DB9392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第一中标候选人：中机华兴（安徽）工程管理有限公司</w:t>
      </w:r>
    </w:p>
    <w:p w14:paraId="076DA19A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投标总报价（含税）：698000元</w:t>
      </w:r>
    </w:p>
    <w:p w14:paraId="6C68D4C5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第二中标候选人：清鸿工程咨询有限公司</w:t>
      </w:r>
    </w:p>
    <w:p w14:paraId="471EB2E5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投标总报价（含税）：680000元</w:t>
      </w:r>
    </w:p>
    <w:p w14:paraId="0DC86659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第三中标候选人：安徽恒信建设工程管理有限公司</w:t>
      </w:r>
    </w:p>
    <w:p w14:paraId="4A0B935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投标总报价（含税）：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604416.24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74DB645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公示期：自2025年10月16日至2025年10月20日</w:t>
      </w:r>
    </w:p>
    <w:p w14:paraId="12FE08E7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3CA53445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A9614F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二、书面异议材料应当包括以下内容：</w:t>
      </w:r>
    </w:p>
    <w:p w14:paraId="2E1C447B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（一）异议人名称、地址和有效联系方式；</w:t>
      </w:r>
    </w:p>
    <w:p w14:paraId="56BC008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（二）被异议人名称；</w:t>
      </w:r>
    </w:p>
    <w:p w14:paraId="0BDFF27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（三）异议事项的基本事实；</w:t>
      </w:r>
    </w:p>
    <w:p w14:paraId="0C790BDB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（四）相关请求及主张；</w:t>
      </w:r>
    </w:p>
    <w:p w14:paraId="650BE872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（五）有效线索和相关证明材料。</w:t>
      </w:r>
    </w:p>
    <w:p w14:paraId="1B04A17C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4DDF23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三、异议材料有下列情形的亦不予接收：</w:t>
      </w:r>
    </w:p>
    <w:p w14:paraId="0F0D1608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（一）异议材料不完整的；</w:t>
      </w:r>
    </w:p>
    <w:p w14:paraId="4061CE3A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（二）异议事项含有主观猜测等内容且无充分有效证据的；</w:t>
      </w:r>
    </w:p>
    <w:p w14:paraId="2814081E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（三）对其他投标人的投标文件详细内容异议，无法提供合法来源渠道的。</w:t>
      </w:r>
    </w:p>
    <w:p w14:paraId="14803212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异议人不得以异议为名进行虚假、恶意异议，干扰招标投标活动的正常进行。</w:t>
      </w:r>
    </w:p>
    <w:p w14:paraId="13D29639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41229848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如公示期内无有效异议，本中标候选人公示即为确定中标人的依据。</w:t>
      </w:r>
    </w:p>
    <w:p w14:paraId="41F39D53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特此公示。</w:t>
      </w:r>
    </w:p>
    <w:p w14:paraId="38B8394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招标人：蚌埠液力机械有限公司</w:t>
      </w:r>
    </w:p>
    <w:p w14:paraId="70276B4F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招标代理机构：安徽省招标集团股份有限公司</w:t>
      </w:r>
    </w:p>
    <w:p w14:paraId="1498E97E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2025年10月16日</w:t>
      </w:r>
    </w:p>
    <w:p w14:paraId="1C4E824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</w:p>
    <w:p w14:paraId="7F8F5C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2025-10-16T08:36:53Z</dcterms:created>
  <dc:creator>18426</dc:creator>
  <cp:lastModifiedBy>二审-张韦杰</cp:lastModifiedBy>
  <dcterms:modified xsi:type="dcterms:W3CDTF">2025-10-16T08:53:56Z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eyJoZGlkIjoiMzEwNTM5NzYwMDRjMzkwZTVkZjY2ODkwMGIxNGU0OTUiLCJ1c2VySWQiOiIzMTgwOTM4ODcifQ==</vt:lpwstr>
  </property>
  <property fmtid="{D5CDD505-2E9C-101B-9397-08002B2CF9AE}" pid="4" name="ICV">
    <vt:lpwstr>3D4735EE1B254F2C86871FBCF9C08438_13</vt:lpwstr>
  </property>
</Properties>
</file>