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E5794">
      <w:pPr>
        <w:pStyle w:val="2"/>
        <w:widowControl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32"/>
          <w:szCs w:val="32"/>
          <w:highlight w:val="none"/>
          <w:lang w:eastAsia="zh-CN"/>
        </w:rPr>
        <w:t>衡阳合力新工厂空调采购项目中标候选人公示</w:t>
      </w:r>
    </w:p>
    <w:p w14:paraId="57167532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一、安徽省招标集团股份有限公司受衡阳合力工业车辆有限公司委托，就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衡阳合力新工厂空调采购项目</w:t>
      </w: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（项目编号：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GN2025-23-5652</w:t>
      </w: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）进行招标。本项目于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2025年9月11日14时30分</w:t>
      </w: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，在安徽省招标集团股份有限公司公开开标，经评标委员会评审，现将中标候选人公示如下：</w:t>
      </w:r>
    </w:p>
    <w:p w14:paraId="33641DF8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1、项目名称：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衡阳合力新工厂空调采购项目</w:t>
      </w:r>
    </w:p>
    <w:p w14:paraId="02FE1773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2、招标编号：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GN2025-23-5652</w:t>
      </w:r>
    </w:p>
    <w:p w14:paraId="4AF90763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3、主要内容：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衡阳合力新工厂空调</w:t>
      </w:r>
    </w:p>
    <w:p w14:paraId="35B00634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eastAsia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4、中标候选人情况：</w:t>
      </w:r>
    </w:p>
    <w:p w14:paraId="15277D9C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第一中标候选人：湖南宏利安装工程有限责任公司</w:t>
      </w:r>
    </w:p>
    <w:p w14:paraId="5A76DB3B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投标报价：1179097元，总得分91.67分。</w:t>
      </w:r>
    </w:p>
    <w:p w14:paraId="50E2545B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第二中标候选人：湖南华庆建设工程有限公司</w:t>
      </w:r>
    </w:p>
    <w:p w14:paraId="60C45461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投标报价：1194798元，总得分85.94分。</w:t>
      </w:r>
    </w:p>
    <w:p w14:paraId="140C3BD6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第三中标候选人：华实安装有限公司</w:t>
      </w:r>
    </w:p>
    <w:p w14:paraId="00E09D15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eastAsia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投标报价：1187562.63元，总得分76.15分</w:t>
      </w:r>
    </w:p>
    <w:p w14:paraId="296B71E4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公示期：自2025年9月17日至2025年9月22日</w:t>
      </w:r>
    </w:p>
    <w:p w14:paraId="4B5CAA54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招标投标相关各方对上述结果有异议，可在公示期内以书面形式向安徽省招标集团股份有限公司提出。异议接收联系电话：0731-85530680。应急客服电话：0551-62220153（接听时间：8:30-12:00,13:30-17:30，节假日除外。应优先拨打异议接收联系电话，无人接听时再拨打该“应急客服电话”）。</w:t>
      </w:r>
    </w:p>
    <w:p w14:paraId="6986C1DD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本公示发布媒介：安徽省招标投标信息网（www.ahtba.org.cn）、中国招标投标公共服务平台（www.cebpubservice.com）、中国采购与招标网（www.chinabidding.com.cn）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eastAsia="zh-CN"/>
        </w:rPr>
        <w:t>、优质采招标采购平台（www.yzczb.com）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snapToGrid w:val="0"/>
          <w:color w:val="000000"/>
          <w:highlight w:val="none"/>
        </w:rPr>
        <w:t>优质采云采购平台（网址：www.youzhicai.com）。</w:t>
      </w:r>
    </w:p>
    <w:p w14:paraId="3F7B35B1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二、书面异议材料应当包括以下内容：</w:t>
      </w:r>
    </w:p>
    <w:p w14:paraId="412CB742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（一）异议人名称、地址和有效联系方式；</w:t>
      </w:r>
    </w:p>
    <w:p w14:paraId="1451F022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（二）被异议人名称；</w:t>
      </w:r>
    </w:p>
    <w:p w14:paraId="51CD8984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（三）异议事项的基本事实；</w:t>
      </w:r>
    </w:p>
    <w:p w14:paraId="7DF345ED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（四）相关请求及主张；</w:t>
      </w:r>
    </w:p>
    <w:p w14:paraId="65BA7F06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（五）有效线索和相关证明材料。</w:t>
      </w:r>
    </w:p>
    <w:p w14:paraId="52507668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书面异议材料必须符合上述要求，且由其法定代表人签字并加盖公章，并附法定代表人及其委托联系人的有效身份证复印件，否则不予接收。</w:t>
      </w:r>
    </w:p>
    <w:p w14:paraId="54150204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三、异议材料有下列情形的亦不予接收：</w:t>
      </w:r>
    </w:p>
    <w:p w14:paraId="5C2CB64B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（一）异议材料不完整的；</w:t>
      </w:r>
    </w:p>
    <w:p w14:paraId="7001AD17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（二）异议事项含有主观猜测等内容且无充分有效证据的；</w:t>
      </w:r>
    </w:p>
    <w:p w14:paraId="2BB0A4BF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（三）对其他投标人的投标文件详细内容异议，无法提供合法来源渠道的。</w:t>
      </w:r>
    </w:p>
    <w:p w14:paraId="0443685F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异议人不得以异议为名进行虚假、恶意异议，干扰招标投标活动的正常进行。</w:t>
      </w:r>
    </w:p>
    <w:p w14:paraId="0F095D1F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对于提供虚假材料，以异议为名谋取中标或恶意异议扰乱招标工作秩序的，将报请行政监管部门处理。</w:t>
      </w:r>
    </w:p>
    <w:p w14:paraId="33ED2359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如公示期内无有效异议，本中标候选人公示即为确定中标人的依据。</w:t>
      </w:r>
    </w:p>
    <w:p w14:paraId="567674CC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特此公示。</w:t>
      </w:r>
    </w:p>
    <w:p w14:paraId="2C4569CB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left"/>
        <w:rPr>
          <w:rFonts w:hint="default" w:ascii="宋体" w:hAnsi="宋体" w:eastAsia="宋体" w:cs="宋体"/>
          <w:snapToGrid w:val="0"/>
          <w:color w:val="000000"/>
          <w:highlight w:val="none"/>
        </w:rPr>
      </w:pPr>
    </w:p>
    <w:p w14:paraId="31AA95C1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right"/>
        <w:rPr>
          <w:rFonts w:hint="default" w:ascii="宋体" w:hAnsi="宋体" w:eastAsia="宋体" w:cs="宋体"/>
          <w:snapToGrid w:val="0"/>
          <w:color w:val="000000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安徽省招标集团股份有限公司</w:t>
      </w:r>
    </w:p>
    <w:p w14:paraId="1417F25F">
      <w:pPr>
        <w:pStyle w:val="2"/>
        <w:widowControl/>
        <w:wordWrap w:val="0"/>
        <w:spacing w:before="0" w:beforeAutospacing="0" w:after="0" w:afterAutospacing="0" w:line="360" w:lineRule="auto"/>
        <w:ind w:firstLine="482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color w:val="000000"/>
          <w:highlight w:val="none"/>
        </w:rPr>
        <w:t>202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napToGrid w:val="0"/>
          <w:color w:val="000000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000000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highlight w:val="none"/>
        </w:rPr>
        <w:t>日</w:t>
      </w:r>
    </w:p>
    <w:p w14:paraId="13918B10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TM4YTUxYzliNzY4YzliYThlN2M5ZjhhNzM0NmYifQ=="/>
  </w:docVars>
  <w:rsids>
    <w:rsidRoot w:val="09085B73"/>
    <w:rsid w:val="08647BC6"/>
    <w:rsid w:val="09085B73"/>
    <w:rsid w:val="118410DE"/>
    <w:rsid w:val="25AE1265"/>
    <w:rsid w:val="31307EEF"/>
    <w:rsid w:val="33BF4371"/>
    <w:rsid w:val="5A4F609C"/>
    <w:rsid w:val="6D31167E"/>
    <w:rsid w:val="7EC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1069</Characters>
  <Lines>0</Lines>
  <Paragraphs>0</Paragraphs>
  <TotalTime>4</TotalTime>
  <ScaleCrop>false</ScaleCrop>
  <LinksUpToDate>false</LinksUpToDate>
  <CharactersWithSpaces>1069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2024-09-27T03:55:00Z</dcterms:created>
  <dc:creator>Delight</dc:creator>
  <cp:lastModifiedBy>aabbb</cp:lastModifiedBy>
  <dcterms:modified xsi:type="dcterms:W3CDTF">2025-09-18T07:20:55Z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6587A8E25E30460CB90925441F079F1C_11</vt:lpwstr>
  </property>
  <property fmtid="{D5CDD505-2E9C-101B-9397-08002B2CF9AE}" pid="4" name="KSOTemplateDocerSaveRecord">
    <vt:lpwstr>eyJoZGlkIjoiNDVmYTFmMDdhZGQ1OTAyNGJiZDBjNTUzMzgxNjQxZDUiLCJ1c2VySWQiOiIxMDM4NjMxMjU4In0=</vt:lpwstr>
  </property>
</Properties>
</file>