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outlineLvl w:val="0"/>
        <w:rPr>
          <w:rFonts w:hint="eastAsia" w:ascii="仿宋" w:hAnsi="仿宋" w:eastAsia="仿宋" w:cs="仿宋"/>
          <w:b/>
          <w:bCs/>
          <w:color w:val="auto"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lang w:val="en-US" w:eastAsia="zh-CN"/>
        </w:rPr>
        <w:t>技术要求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outlineLvl w:val="0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bookmarkStart w:id="0" w:name="_Toc131846010"/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项目名称：制动器底板人工铆焊线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（包3：压铆专机）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outlineLvl w:val="0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项目需求：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根据生产线工艺要求，需一台160t伺服油压机热铆专机的方案设计、制造、运输、安装、调试、培训、售后服务等。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outlineLvl w:val="0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三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、项目整体要求：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outlineLvl w:val="1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、设备工作环境及条件：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（1）温度：-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℃～45℃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（2）相对湿度： ≤85%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（3）电源电压： 380V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（4）电源频率： 50Hz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（5）压缩空气： 工作压力＜0.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MPa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outlineLvl w:val="1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、工作制度：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（1）每年工作日：251天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（2）每天工作班：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单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班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（3）每天每班工作时间：8小时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（4）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有效工作时间：7h；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产品换产时间小于0.5小时；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（6）合格率：99.5%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3、生产纲领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1.5t制动器年产量20000件；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2.0t制动器年产量60000件；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outlineLvl w:val="0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四、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工艺要求总述：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outlineLvl w:val="1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加工对象</w:t>
      </w:r>
    </w:p>
    <w:tbl>
      <w:tblPr>
        <w:tblStyle w:val="6"/>
        <w:tblW w:w="80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6"/>
        <w:gridCol w:w="1656"/>
        <w:gridCol w:w="1893"/>
        <w:gridCol w:w="1650"/>
        <w:gridCol w:w="1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65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图号</w:t>
            </w:r>
          </w:p>
        </w:tc>
        <w:tc>
          <w:tcPr>
            <w:tcW w:w="165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89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BOM图号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656" w:type="dxa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A81B3-70301</w:t>
            </w:r>
          </w:p>
        </w:tc>
        <w:tc>
          <w:tcPr>
            <w:tcW w:w="1656" w:type="dxa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1.5t 制动器底板</w:t>
            </w:r>
          </w:p>
        </w:tc>
        <w:tc>
          <w:tcPr>
            <w:tcW w:w="189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HR181B3703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底板焊件</w:t>
            </w:r>
          </w:p>
        </w:tc>
        <w:tc>
          <w:tcPr>
            <w:tcW w:w="1167" w:type="dxa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热铆、冷铆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656" w:type="dxa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9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A81B3-72031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支承销</w:t>
            </w:r>
          </w:p>
        </w:tc>
        <w:tc>
          <w:tcPr>
            <w:tcW w:w="1167" w:type="dxa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656" w:type="dxa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9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A81B3-78671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铆钉10X30</w:t>
            </w:r>
          </w:p>
        </w:tc>
        <w:tc>
          <w:tcPr>
            <w:tcW w:w="1167" w:type="dxa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656" w:type="dxa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9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A81B3-72041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轴套</w:t>
            </w:r>
          </w:p>
        </w:tc>
        <w:tc>
          <w:tcPr>
            <w:tcW w:w="1167" w:type="dxa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656" w:type="dxa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23653-73011</w:t>
            </w:r>
          </w:p>
        </w:tc>
        <w:tc>
          <w:tcPr>
            <w:tcW w:w="1656" w:type="dxa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2t制动器底板</w:t>
            </w:r>
          </w:p>
        </w:tc>
        <w:tc>
          <w:tcPr>
            <w:tcW w:w="189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22493-71100G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制动器底板</w:t>
            </w:r>
          </w:p>
        </w:tc>
        <w:tc>
          <w:tcPr>
            <w:tcW w:w="1167" w:type="dxa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热铆、冷铆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656" w:type="dxa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9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22493-71010G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支撑销</w:t>
            </w:r>
          </w:p>
        </w:tc>
        <w:tc>
          <w:tcPr>
            <w:tcW w:w="1167" w:type="dxa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656" w:type="dxa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9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A81B3-78671</w:t>
            </w:r>
          </w:p>
        </w:tc>
        <w:tc>
          <w:tcPr>
            <w:tcW w:w="16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铆钉10x30</w:t>
            </w:r>
          </w:p>
        </w:tc>
        <w:tc>
          <w:tcPr>
            <w:tcW w:w="1167" w:type="dxa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center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drawing>
          <wp:inline distT="0" distB="0" distL="114300" distR="114300">
            <wp:extent cx="4322445" cy="2658110"/>
            <wp:effectExtent l="0" t="0" r="1905" b="8890"/>
            <wp:docPr id="8" name="图片 8" descr="WXWorkLocal_17241190158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WXWorkLocal_1724119015846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22445" cy="2658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jc w:val="center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1.5t底板</w:t>
      </w:r>
    </w:p>
    <w:p>
      <w:pPr>
        <w:pStyle w:val="5"/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370705" cy="2543810"/>
            <wp:effectExtent l="0" t="0" r="10795" b="889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0705" cy="2543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jc w:val="center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2.0t底板</w:t>
      </w:r>
    </w:p>
    <w:p>
      <w:pPr>
        <w:pStyle w:val="5"/>
        <w:numPr>
          <w:ilvl w:val="0"/>
          <w:numId w:val="3"/>
        </w:numPr>
        <w:outlineLvl w:val="1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生产节拍：≤60s/件</w:t>
      </w:r>
    </w:p>
    <w:p>
      <w:pPr>
        <w:pStyle w:val="5"/>
        <w:numPr>
          <w:ilvl w:val="0"/>
          <w:numId w:val="3"/>
        </w:numPr>
        <w:outlineLvl w:val="1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加工流程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人工上件（底板焊件）→人工组装支撑销、铆钉→支撑销高频加热→加热完成后自动输送到油压机工装上→压铆→完成后人工下件</w:t>
      </w:r>
    </w:p>
    <w:p>
      <w:pPr>
        <w:pStyle w:val="5"/>
        <w:widowControl w:val="0"/>
        <w:numPr>
          <w:ilvl w:val="0"/>
          <w:numId w:val="0"/>
        </w:numPr>
        <w:jc w:val="both"/>
        <w:outlineLvl w:val="1"/>
        <w:rPr>
          <w:rFonts w:hint="default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4、压铆专机要求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28"/>
          <w:szCs w:val="28"/>
          <w:u w:val="none"/>
          <w:lang w:val="en-US" w:eastAsia="zh-CN"/>
        </w:rPr>
        <w:t>1）压铆专机主要由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支撑销、铆钉装配工作台、支撑销加热装置、压铆工装和伺服油压机组成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2）压力机压力不小于160t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3）机身采用钢板整体焊接框架式结构，振动时效后经整体回火处理彻底消除焊接内应力，具有较高的刚度，并且结构合理，外形美观。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4）曲轴纵向放置，支点距离短，曲轴刚度好；传动齿轮封闭在机身内部，齿轮浸油润滑，啮合噪音低。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5）控制部分采用伺服系统进行集中控制，有效保证电控部分的可靠性，同时预留机器人接口。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6）机床配置有急停按钮（发生异常时按“急停”按钮，压力机工作立即停止）和双手操作按钮（双手下行同步时限0.2～0.5S），同时机床应配置模具安全栓。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7）压力机设有气动平衡装置，减少二次冲击，运行平稳，提高压力机的动态精度。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8）机床标准配置光电保护装置，以保护操作者人身安全。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5、工装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textAlignment w:val="auto"/>
        <w:rPr>
          <w:rFonts w:hint="default" w:ascii="仿宋" w:hAnsi="仿宋" w:eastAsia="仿宋" w:cs="仿宋"/>
          <w:b w:val="0"/>
          <w:i w:val="0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28"/>
          <w:szCs w:val="28"/>
          <w:u w:val="none"/>
          <w:lang w:val="en-US" w:eastAsia="zh-CN"/>
        </w:rPr>
        <w:t>1）工装带高频加热装置，满足支撑销加热功能（支撑销采用热压，铆钉采用冷压）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textAlignment w:val="auto"/>
        <w:rPr>
          <w:rFonts w:hint="default" w:ascii="仿宋" w:hAnsi="仿宋" w:eastAsia="仿宋" w:cs="仿宋"/>
          <w:b w:val="0"/>
          <w:i w:val="0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28"/>
          <w:szCs w:val="28"/>
          <w:u w:val="none"/>
          <w:lang w:val="en-US" w:eastAsia="zh-CN"/>
        </w:rPr>
        <w:t>2）工装要求能将1个支撑销和2个铆钉一共三个点位一次压成；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textAlignment w:val="auto"/>
        <w:rPr>
          <w:rFonts w:hint="eastAsia" w:ascii="仿宋" w:hAnsi="仿宋" w:eastAsia="仿宋" w:cs="仿宋"/>
          <w:b w:val="0"/>
          <w:i w:val="0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28"/>
          <w:szCs w:val="28"/>
          <w:u w:val="none"/>
          <w:lang w:val="en-US" w:eastAsia="zh-CN"/>
        </w:rPr>
        <w:t>3）工装要求调整方便快捷，辅助时间少，劳动强度低。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560" w:firstLineChars="20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4）工装应具快速切换结构,便于产品切换。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560" w:firstLineChars="20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5）定位基准优先选择支撑销安装孔,定位夹具处零件需要淬火处理。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560" w:firstLineChars="20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6）夹具定位基准的选取要考虑到准确性、一致性。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560" w:firstLineChars="20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7）夹具的设计应合理、安全、可靠,要方便工件的装夹。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560" w:firstLineChars="20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8）在不影响定位准确条件下,尽量减少不同产品装夹方式的种类和辅助设备。</w:t>
      </w:r>
    </w:p>
    <w:bookmarkEnd w:id="0"/>
    <w:p>
      <w:pPr>
        <w:numPr>
          <w:ilvl w:val="0"/>
          <w:numId w:val="0"/>
        </w:numPr>
        <w:ind w:leftChars="0"/>
        <w:jc w:val="left"/>
        <w:outlineLvl w:val="0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五、设备通用要求</w:t>
      </w:r>
    </w:p>
    <w:p>
      <w:pPr>
        <w:numPr>
          <w:ilvl w:val="0"/>
          <w:numId w:val="0"/>
        </w:numPr>
        <w:ind w:leftChars="0"/>
        <w:jc w:val="left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1、设计参考标准</w:t>
      </w:r>
    </w:p>
    <w:p>
      <w:pPr>
        <w:numPr>
          <w:ilvl w:val="0"/>
          <w:numId w:val="0"/>
        </w:numPr>
        <w:ind w:leftChars="0"/>
        <w:jc w:val="left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  <w:t>GB 5226.1-2008     机械安全机械电气设备 第1部分：通用技术条件</w:t>
      </w:r>
    </w:p>
    <w:p>
      <w:pPr>
        <w:numPr>
          <w:ilvl w:val="0"/>
          <w:numId w:val="0"/>
        </w:numPr>
        <w:ind w:leftChars="0"/>
        <w:jc w:val="left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GB50169-2006       电气装置安装工程 接地装置施工及验收规范 </w:t>
      </w:r>
    </w:p>
    <w:p>
      <w:pPr>
        <w:numPr>
          <w:ilvl w:val="0"/>
          <w:numId w:val="0"/>
        </w:numPr>
        <w:ind w:leftChars="0"/>
        <w:jc w:val="left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  <w:t>GBJ232-82          电气装置安装工程施工及验收规范</w:t>
      </w:r>
    </w:p>
    <w:p>
      <w:pPr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2、设备布置紧凑，技术先进，运行连续有效，安全性高，综合能耗低，操作维护简单，运行费用低。</w:t>
      </w:r>
    </w:p>
    <w:p>
      <w:pPr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3、设备的控制系统保证自动控制，技术先进可靠，能够自动完成正常运行时各项技术指标和功能，具备连锁功能以防误操作。能够显示和处理设备报警。</w:t>
      </w:r>
    </w:p>
    <w:p>
      <w:pPr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4、设备采用标准的电气、仪表元器件和设备组件，控制系统应具有可维护性和可扩展性。主要元器件需为著名品牌。</w:t>
      </w:r>
    </w:p>
    <w:p>
      <w:pPr>
        <w:pStyle w:val="2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5、设备计量单位采用国家法定单位。</w:t>
      </w:r>
    </w:p>
    <w:p>
      <w:pPr>
        <w:pStyle w:val="2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6、设备制造材料执行国家最新标准。</w:t>
      </w:r>
    </w:p>
    <w:p>
      <w:pPr>
        <w:pStyle w:val="2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7、技术要求只是通用性要求，设计方应根据自身特点推荐最佳方案，并详细阐明设备的其它优势及关键技术指标。方案应满足或高于本技术要求描述的技术标准。</w:t>
      </w:r>
    </w:p>
    <w:p>
      <w:pPr>
        <w:pStyle w:val="2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8、设计方进行系统设计时应在满足需方要求、允许精度的情况下充分考虑系统的总体造价、运行费用及维护、保养的方便性。</w:t>
      </w:r>
    </w:p>
    <w:p>
      <w:pPr>
        <w:pStyle w:val="2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9、设备应设置安全控制按钮。在发生危险时，方便操作人员在工位就近位置能够迅速停止设备工作。</w:t>
      </w:r>
    </w:p>
    <w:p>
      <w:pPr>
        <w:numPr>
          <w:ilvl w:val="0"/>
          <w:numId w:val="0"/>
        </w:numPr>
        <w:ind w:leftChars="0"/>
        <w:jc w:val="left"/>
        <w:outlineLvl w:val="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六、环保要求</w:t>
      </w:r>
    </w:p>
    <w:p>
      <w:pPr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1、设备颜色</w:t>
      </w:r>
    </w:p>
    <w:p>
      <w:pPr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设备主体、公共底座、变位机、夹具、辊道支架等采用RAL7032，防护盖板等采用RAL1023，其余精度件发黑处理。</w:t>
      </w:r>
    </w:p>
    <w:p>
      <w:pPr>
        <w:numPr>
          <w:ilvl w:val="0"/>
          <w:numId w:val="0"/>
        </w:numPr>
        <w:ind w:leftChars="0"/>
        <w:jc w:val="left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2、噪音要求</w:t>
      </w:r>
    </w:p>
    <w:p>
      <w:pPr>
        <w:numPr>
          <w:ilvl w:val="0"/>
          <w:numId w:val="0"/>
        </w:numPr>
        <w:ind w:leftChars="0"/>
        <w:jc w:val="left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  <w:t>设备投入使用后，噪音要满足环保要求（工作场所噪音不超过80分贝；厂界噪音夜间不超过50分贝、白天不超过60分贝）。</w:t>
      </w:r>
    </w:p>
    <w:p>
      <w:pPr>
        <w:numPr>
          <w:ilvl w:val="0"/>
          <w:numId w:val="0"/>
        </w:numPr>
        <w:ind w:leftChars="0"/>
        <w:jc w:val="left"/>
        <w:outlineLvl w:val="0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七、MES联网要求</w:t>
      </w:r>
    </w:p>
    <w:p>
      <w:pPr>
        <w:pStyle w:val="2"/>
        <w:numPr>
          <w:ilvl w:val="0"/>
          <w:numId w:val="0"/>
        </w:numPr>
        <w:ind w:leftChars="0"/>
        <w:rPr>
          <w:rFonts w:hint="default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 xml:space="preserve"> 控制系统接入工厂MES系统，可在MES系统中对所有设备运行查看。</w:t>
      </w:r>
    </w:p>
    <w:p>
      <w:pPr>
        <w:pStyle w:val="2"/>
        <w:numPr>
          <w:ilvl w:val="0"/>
          <w:numId w:val="0"/>
        </w:numPr>
        <w:ind w:leftChars="0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1、控制系统必须预留MES系统接口，供设备联网使用，禁止使用无线网络进行通讯，避免使用交换机二次转接。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2、 控制系统PLC设备（含子PLC）网络IP地址必须按照网络规范统一划定，不能自行定义自己家设备的IP及子网掩码。机联网服务器端到现场设备端网络通畅，开放PLC端口。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3、设备交付验收，设备厂家连同程序及典表一同交付，程序注释要清晰，具备可读性。并对PLC典表（PLC数据地址、代表的数据内容、数据长度、数据类型等说明文件）内容正确性负责。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4、 设备交付验收，设备厂家需明确提供PLC型号、PLC设备典表。</w:t>
      </w:r>
    </w:p>
    <w:p>
      <w:pPr>
        <w:numPr>
          <w:ilvl w:val="0"/>
          <w:numId w:val="0"/>
        </w:numPr>
        <w:ind w:leftChars="0"/>
        <w:jc w:val="left"/>
        <w:outlineLvl w:val="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八、运输、包装与验收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选择运输风险小、运费低、距离短的运输方式，直到合同指定的交货地点，要求符合运输装卸要保证求，以安全无损的运到收货地点。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包装应按国家标准或部颁（专业）标准规定执行，由于包装不善引起的货物锈蚀、损坏、丢失均由中标方承担。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包装箱应有明显的包装编号，每件包装箱内应附一份详细的装箱单和质量合格证。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设备到货后，需方依据供方提供的清单进行验收。对缺件、质量损坏等做出记录，供方负责处理。如属于运输部门造成的设备性能下降、破损、缺件等事故由供方负责解决。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5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由供方负责设备的安装；安装过程中所用工、量、器、检具、等均由供方自行准备；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6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设备安装完工后，供方应将产品合格证、使用说明书等技术资料交付给需方。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7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设备验收按照双方签署技术协议具体条款。</w:t>
      </w:r>
    </w:p>
    <w:p>
      <w:pPr>
        <w:numPr>
          <w:ilvl w:val="0"/>
          <w:numId w:val="0"/>
        </w:numPr>
        <w:ind w:leftChars="0"/>
        <w:jc w:val="left"/>
        <w:outlineLvl w:val="0"/>
        <w:rPr>
          <w:rFonts w:hint="eastAsia" w:ascii="仿宋" w:hAnsi="仿宋" w:eastAsia="仿宋" w:cs="仿宋"/>
          <w:b/>
          <w:bCs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九、售后服务要求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供方以优惠的价格提供终身配件。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附售后服务承诺书。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完善的售后服务措施，良好的备品配件供应能力，高水平的技术维修人员以及高效率的工作作风。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4、供方应免费为需方提供人员培训，应细心对操作人员讲解操作规程及方法，并进行详细的操作培训直至熟练为止。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5、质保期：机械一年、电气二年</w:t>
      </w:r>
    </w:p>
    <w:p>
      <w:pPr>
        <w:numPr>
          <w:ilvl w:val="0"/>
          <w:numId w:val="0"/>
        </w:numPr>
        <w:ind w:leftChars="0"/>
        <w:jc w:val="left"/>
        <w:outlineLvl w:val="0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十、资料要求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 设计应符合相关国家标准及行业规范。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2设计图纸                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1份/套（同时可提供电子版）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3出厂检验报告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1份/套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4发货清单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1份/套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5易损件清单（型号、供应厂家）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1份/套</w:t>
      </w:r>
    </w:p>
    <w:p>
      <w:pPr>
        <w:numPr>
          <w:ilvl w:val="0"/>
          <w:numId w:val="0"/>
        </w:numPr>
        <w:ind w:leftChars="0"/>
        <w:jc w:val="left"/>
        <w:outlineLvl w:val="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十一、商务要求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1、交货地点：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宝鸡合力叉车有限公司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厂内指定地点。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2、交货日期：合同签订后</w:t>
      </w:r>
      <w:r>
        <w:rPr>
          <w:rFonts w:hint="eastAsia" w:ascii="Times New Roman" w:hAnsi="Times New Roman" w:eastAsia="仿宋"/>
          <w:b/>
          <w:sz w:val="30"/>
          <w:szCs w:val="30"/>
          <w:lang w:val="en-US" w:eastAsia="zh-CN"/>
        </w:rPr>
        <w:t>60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天内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交货，</w:t>
      </w:r>
      <w:r>
        <w:rPr>
          <w:rFonts w:hint="eastAsia" w:ascii="Times New Roman" w:hAnsi="Times New Roman" w:eastAsia="仿宋"/>
          <w:b/>
          <w:sz w:val="30"/>
          <w:szCs w:val="30"/>
          <w:lang w:val="en-US" w:eastAsia="zh-CN"/>
        </w:rPr>
        <w:t>15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天内安装完成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3、价 格：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3.1. 所有报价均为含税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13%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报价，报价应分别体现总价和分项报价。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3.2. 总价包括设备供应价、运输价（含保险费）、管理费、技术服务费、备品备件费、设备装卸费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设备安装、调试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等各项费用。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3.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. 在交货期限或工程工期内，供应总价一次包死，不受国家政策性调价或原材料市场价格变化的影响，并作为最终结算的唯一依据。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4、货款的支付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合同签订后预付30%货款，货到后付至60%，同时开具全额增值税发票。验收合格后付至90%，余款10%作为保证金，质保期满后一次付清。</w:t>
      </w:r>
    </w:p>
    <w:p>
      <w:pPr>
        <w:numPr>
          <w:ilvl w:val="0"/>
          <w:numId w:val="0"/>
        </w:numPr>
        <w:ind w:leftChars="0"/>
        <w:jc w:val="left"/>
        <w:outlineLvl w:val="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十二、合同格式、生效及其他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设备合同按国家合同法有关规定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宝鸡合力叉车有限公司合同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格式签订。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合同生效后，供需双方都应严格履行合同，如出现问题应按照《中华人民共和国合同法》等有关规定办理。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合同在执行过程中出现的未尽事宜，双方在不违背合同询价采购文件的原则下协商解决，协商结果以“纪要”形式为合同的附件与合同具有同等法律效力。</w:t>
      </w:r>
    </w:p>
    <w:p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询价采购文件、应答文件均为合同不可分割的部分，如发现供货合同与上述文件不一致时，宝鸡合力叉车有限公司有权制止签订合同或终止合同。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atangChe">
    <w:altName w:val="Malgun Gothic"/>
    <w:panose1 w:val="02030609000101010101"/>
    <w:charset w:val="81"/>
    <w:family w:val="modern"/>
    <w:pitch w:val="default"/>
    <w:sig w:usb0="00000000" w:usb1="00000000" w:usb2="00000030" w:usb3="00000000" w:csb0="4008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4BDD17"/>
    <w:multiLevelType w:val="singleLevel"/>
    <w:tmpl w:val="974BDD17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B3AD118D"/>
    <w:multiLevelType w:val="singleLevel"/>
    <w:tmpl w:val="B3AD118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4A407AA1"/>
    <w:multiLevelType w:val="singleLevel"/>
    <w:tmpl w:val="4A407AA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C55BE"/>
    <w:rsid w:val="193C5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99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unhideWhenUsed/>
    <w:qFormat/>
    <w:uiPriority w:val="0"/>
    <w:pPr>
      <w:tabs>
        <w:tab w:val="left" w:pos="1176"/>
      </w:tabs>
      <w:spacing w:after="120"/>
      <w:ind w:left="420" w:leftChars="200" w:firstLine="420" w:firstLineChars="200"/>
    </w:pPr>
    <w:rPr>
      <w:rFonts w:ascii="Calibri"/>
    </w:rPr>
  </w:style>
  <w:style w:type="paragraph" w:styleId="3">
    <w:name w:val="Body Text Indent"/>
    <w:basedOn w:val="1"/>
    <w:next w:val="4"/>
    <w:qFormat/>
    <w:uiPriority w:val="99"/>
    <w:pPr>
      <w:widowControl/>
      <w:ind w:firstLine="586"/>
      <w:jc w:val="left"/>
    </w:pPr>
    <w:rPr>
      <w:kern w:val="0"/>
      <w:sz w:val="28"/>
      <w:szCs w:val="20"/>
    </w:rPr>
  </w:style>
  <w:style w:type="paragraph" w:styleId="4">
    <w:name w:val="envelope return"/>
    <w:basedOn w:val="1"/>
    <w:qFormat/>
    <w:uiPriority w:val="0"/>
    <w:pPr>
      <w:wordWrap w:val="0"/>
      <w:adjustRightInd w:val="0"/>
      <w:snapToGrid w:val="0"/>
      <w:spacing w:line="360" w:lineRule="atLeast"/>
      <w:textAlignment w:val="baseline"/>
    </w:pPr>
    <w:rPr>
      <w:rFonts w:ascii="Arial" w:hAnsi="Arial" w:eastAsia="BatangChe"/>
      <w:kern w:val="0"/>
      <w:sz w:val="20"/>
      <w:lang w:eastAsia="ko-KR"/>
    </w:rPr>
  </w:style>
  <w:style w:type="paragraph" w:styleId="5">
    <w:name w:val="List"/>
    <w:basedOn w:val="1"/>
    <w:qFormat/>
    <w:uiPriority w:val="99"/>
    <w:pPr>
      <w:ind w:left="420" w:hanging="420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2024-10-22T06:45:00Z</dcterms:created>
  <dc:creator>Administrator</dc:creator>
  <cp:lastModifiedBy>Administrator</cp:lastModifiedBy>
  <dcterms:modified xsi:type="dcterms:W3CDTF">2024-10-22T06:47:32Z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0C72307B087E4890BDF3C0AE70BCA527</vt:lpwstr>
  </property>
</Properties>
</file>