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sz w:val="28"/>
          <w:szCs w:val="28"/>
        </w:rPr>
      </w:pPr>
      <w:r>
        <w:rPr>
          <w:rFonts w:hint="eastAsia" w:ascii="黑体" w:hAnsi="黑体" w:eastAsia="黑体"/>
          <w:sz w:val="32"/>
          <w:szCs w:val="36"/>
          <w:lang w:val="en-US" w:eastAsia="zh-CN"/>
        </w:rPr>
        <w:t>小吨位车间车体输送自动改造项目（二次）</w:t>
      </w:r>
    </w:p>
    <w:p>
      <w:pPr>
        <w:spacing w:line="480" w:lineRule="auto"/>
        <w:jc w:val="center"/>
        <w:rPr>
          <w:rFonts w:ascii="宋体" w:hAnsi="宋体"/>
          <w:sz w:val="24"/>
        </w:rPr>
      </w:pPr>
      <w:r>
        <w:rPr>
          <w:rFonts w:hint="eastAsia" w:ascii="宋体" w:hAnsi="宋体"/>
          <w:b/>
          <w:bCs/>
          <w:sz w:val="32"/>
          <w:szCs w:val="32"/>
        </w:rPr>
        <w:t>询价</w:t>
      </w:r>
      <w:r>
        <w:rPr>
          <w:rFonts w:hint="eastAsia" w:ascii="宋体" w:hAnsi="宋体"/>
          <w:b/>
          <w:bCs/>
          <w:color w:val="000000"/>
          <w:sz w:val="32"/>
          <w:szCs w:val="32"/>
        </w:rPr>
        <w:t>采购文件</w:t>
      </w:r>
    </w:p>
    <w:p>
      <w:pPr>
        <w:jc w:val="left"/>
        <w:rPr>
          <w:rFonts w:hint="eastAsia" w:ascii="Times New Roman" w:hAnsi="Times New Roman" w:cs="Times New Roman"/>
          <w:b/>
          <w:bCs/>
          <w:sz w:val="28"/>
          <w:szCs w:val="28"/>
        </w:rPr>
      </w:pPr>
      <w:r>
        <w:rPr>
          <w:rFonts w:hint="eastAsia" w:ascii="Times New Roman" w:hAnsi="Times New Roman" w:cs="Times New Roman"/>
          <w:b/>
          <w:bCs/>
          <w:sz w:val="28"/>
          <w:szCs w:val="28"/>
        </w:rPr>
        <w:t>一、供应商须知</w:t>
      </w:r>
    </w:p>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ascii="宋体" w:hAnsi="宋体"/>
          <w:sz w:val="24"/>
          <w:szCs w:val="24"/>
        </w:rPr>
      </w:pPr>
      <w:r>
        <w:rPr>
          <w:rFonts w:hint="eastAsia" w:ascii="宋体" w:hAnsi="宋体"/>
          <w:sz w:val="24"/>
          <w:szCs w:val="24"/>
        </w:rPr>
        <w:t>1、适用范围：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本次采购文件仅适用于本次询价采购公告中的所叙述内容。</w:t>
      </w:r>
    </w:p>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ascii="宋体" w:hAnsi="宋体"/>
          <w:sz w:val="24"/>
          <w:szCs w:val="24"/>
        </w:rPr>
      </w:pPr>
      <w:r>
        <w:rPr>
          <w:rFonts w:hint="eastAsia" w:ascii="宋体" w:hAnsi="宋体"/>
          <w:sz w:val="24"/>
          <w:szCs w:val="24"/>
        </w:rPr>
        <w:t>2、本次采购供应商必须提供下列资质文件：</w:t>
      </w:r>
    </w:p>
    <w:p>
      <w:pPr>
        <w:keepNext w:val="0"/>
        <w:keepLines w:val="0"/>
        <w:pageBreakBefore w:val="0"/>
        <w:widowControl w:val="0"/>
        <w:kinsoku/>
        <w:wordWrap/>
        <w:overflowPunct/>
        <w:topLinePunct w:val="0"/>
        <w:autoSpaceDE/>
        <w:autoSpaceDN/>
        <w:bidi w:val="0"/>
        <w:adjustRightInd/>
        <w:snapToGrid/>
        <w:spacing w:line="360" w:lineRule="auto"/>
        <w:ind w:left="559" w:leftChars="266" w:firstLine="0" w:firstLineChars="0"/>
        <w:textAlignment w:val="auto"/>
        <w:rPr>
          <w:rFonts w:ascii="宋体" w:hAnsi="宋体"/>
          <w:sz w:val="24"/>
          <w:szCs w:val="24"/>
        </w:rPr>
      </w:pPr>
      <w:r>
        <w:rPr>
          <w:rFonts w:ascii="宋体" w:hAnsi="宋体"/>
          <w:sz w:val="24"/>
          <w:szCs w:val="24"/>
        </w:rPr>
        <w:t>营业执照、税务登记证、组织机构代码等资格证明文件（复印件），并加盖公章</w:t>
      </w:r>
      <w:r>
        <w:rPr>
          <w:rFonts w:hint="eastAsia" w:ascii="宋体" w:hAnsi="宋体"/>
          <w:sz w:val="24"/>
          <w:szCs w:val="24"/>
        </w:rPr>
        <w:t>，</w:t>
      </w:r>
      <w:r>
        <w:rPr>
          <w:rFonts w:ascii="宋体" w:hAnsi="宋体"/>
          <w:sz w:val="24"/>
          <w:szCs w:val="24"/>
        </w:rPr>
        <w:t>如营业执照为三合一证照，只需</w:t>
      </w:r>
      <w:r>
        <w:rPr>
          <w:rFonts w:hint="eastAsia" w:ascii="宋体" w:hAnsi="宋体"/>
          <w:sz w:val="24"/>
          <w:szCs w:val="24"/>
        </w:rPr>
        <w:t>提供</w:t>
      </w:r>
      <w:r>
        <w:rPr>
          <w:rFonts w:ascii="宋体" w:hAnsi="宋体"/>
          <w:sz w:val="24"/>
          <w:szCs w:val="24"/>
        </w:rPr>
        <w:t>营业执照复印件加盖公章</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ascii="宋体" w:hAnsi="宋体"/>
          <w:sz w:val="24"/>
          <w:szCs w:val="24"/>
        </w:rPr>
      </w:pPr>
      <w:r>
        <w:rPr>
          <w:rFonts w:hint="eastAsia" w:ascii="宋体" w:hAnsi="宋体"/>
          <w:sz w:val="24"/>
          <w:szCs w:val="24"/>
        </w:rPr>
        <w:t>3、说明：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rPr>
        <w:t>（1）无论采购活动中的做法和结果如何，供应商均应自行承担自身所有与本次采购活动有关的全部费用。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rPr>
        <w:t>（2）无论采购结果如何，采购人均无向供应商解释其成交或未成交原因的义务。</w:t>
      </w:r>
    </w:p>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ascii="宋体" w:hAnsi="宋体"/>
          <w:sz w:val="24"/>
          <w:szCs w:val="24"/>
        </w:rPr>
      </w:pPr>
      <w:r>
        <w:rPr>
          <w:rFonts w:hint="eastAsia" w:ascii="宋体" w:hAnsi="宋体"/>
          <w:sz w:val="24"/>
          <w:szCs w:val="24"/>
        </w:rPr>
        <w:t>4、响应文件：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rPr>
        <w:t>请参与采购报价的供应商于</w:t>
      </w:r>
      <w:r>
        <w:rPr>
          <w:rFonts w:hint="eastAsia" w:ascii="宋体" w:hAnsi="宋体"/>
          <w:sz w:val="24"/>
          <w:szCs w:val="24"/>
          <w:lang w:val="en-US" w:eastAsia="zh-CN"/>
        </w:rPr>
        <w:t>2022年5月30</w:t>
      </w:r>
      <w:bookmarkStart w:id="1" w:name="_GoBack"/>
      <w:bookmarkEnd w:id="1"/>
      <w:r>
        <w:rPr>
          <w:rFonts w:hint="eastAsia" w:ascii="宋体" w:hAnsi="宋体"/>
          <w:sz w:val="24"/>
          <w:szCs w:val="24"/>
          <w:lang w:val="en-US" w:eastAsia="zh-CN"/>
        </w:rPr>
        <w:t>日17:00</w:t>
      </w:r>
      <w:r>
        <w:rPr>
          <w:rFonts w:hint="eastAsia" w:ascii="宋体" w:hAnsi="宋体"/>
          <w:sz w:val="24"/>
          <w:szCs w:val="24"/>
        </w:rPr>
        <w:t>前，将以下文件递交至本次采购活动联系人处，响应文件应包括：</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rPr>
        <w:t>第2点中提及的资质文件；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 xml:space="preserve"> </w:t>
      </w:r>
      <w:r>
        <w:rPr>
          <w:rFonts w:hint="eastAsia" w:ascii="宋体" w:hAnsi="宋体"/>
          <w:sz w:val="24"/>
          <w:szCs w:val="24"/>
        </w:rPr>
        <w:t>报价函（包括设备配置、质量保证和售后服务等）；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w:t>
      </w:r>
      <w:r>
        <w:rPr>
          <w:rFonts w:hint="eastAsia" w:ascii="宋体" w:hAnsi="宋体" w:cs="Times New Roman"/>
          <w:kern w:val="2"/>
          <w:sz w:val="24"/>
          <w:szCs w:val="24"/>
          <w:lang w:val="en-US" w:eastAsia="zh-CN" w:bidi="ar-SA"/>
        </w:rPr>
        <w:t xml:space="preserve"> 采购文件需要的其他文件</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rPr>
        <w:t>说明：</w:t>
      </w: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供应商应当对其提交的响应文件的真实性、合法性承担法律责任。</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sz w:val="24"/>
          <w:szCs w:val="24"/>
          <w:lang w:val="en-US" w:eastAsia="zh-CN"/>
        </w:rPr>
      </w:pPr>
      <w:r>
        <w:rPr>
          <w:rFonts w:hint="eastAsia" w:ascii="宋体" w:hAnsi="宋体"/>
          <w:sz w:val="24"/>
          <w:szCs w:val="24"/>
          <w:lang w:val="en-US" w:eastAsia="zh-CN"/>
        </w:rPr>
        <w:t>（2）响应文件报价总额不得超过100万。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rPr>
        <w:t>5、响应文件递交地点：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rPr>
        <w:t>宝鸡市宝福路127号  宝鸡合力叉车</w:t>
      </w:r>
      <w:r>
        <w:rPr>
          <w:rFonts w:hint="eastAsia" w:ascii="宋体" w:hAnsi="宋体"/>
          <w:sz w:val="24"/>
          <w:szCs w:val="24"/>
          <w:lang w:val="en-US" w:eastAsia="zh-CN"/>
        </w:rPr>
        <w:t>有限公司</w:t>
      </w:r>
      <w:r>
        <w:rPr>
          <w:rFonts w:hint="eastAsia" w:ascii="宋体" w:hAnsi="宋体"/>
          <w:sz w:val="24"/>
          <w:szCs w:val="24"/>
        </w:rPr>
        <w:t>制造研究所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sz w:val="24"/>
          <w:szCs w:val="24"/>
          <w:lang w:val="en-US" w:eastAsia="zh-CN"/>
        </w:rPr>
      </w:pPr>
      <w:r>
        <w:rPr>
          <w:rFonts w:hint="eastAsia" w:ascii="宋体" w:hAnsi="宋体"/>
          <w:sz w:val="24"/>
          <w:szCs w:val="24"/>
        </w:rPr>
        <w:t>联系人：制造研究所</w:t>
      </w:r>
      <w:r>
        <w:rPr>
          <w:rFonts w:hint="eastAsia" w:ascii="宋体" w:hAnsi="宋体"/>
          <w:sz w:val="24"/>
          <w:szCs w:val="24"/>
          <w:lang w:val="en-US" w:eastAsia="zh-CN"/>
        </w:rPr>
        <w:t xml:space="preserve"> 张晓刚</w:t>
      </w:r>
      <w:r>
        <w:rPr>
          <w:rFonts w:hint="eastAsia" w:ascii="宋体" w:hAnsi="宋体"/>
          <w:sz w:val="24"/>
          <w:szCs w:val="24"/>
        </w:rPr>
        <w:t xml:space="preserve">   联系电话：0917-3571292</w:t>
      </w:r>
      <w:r>
        <w:rPr>
          <w:rFonts w:hint="eastAsia" w:ascii="宋体" w:hAnsi="宋体"/>
          <w:sz w:val="24"/>
          <w:szCs w:val="24"/>
          <w:lang w:val="en-US" w:eastAsia="zh-CN"/>
        </w:rPr>
        <w:t xml:space="preserve"> 15229872054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rPr>
        <w:t>6、评审结束后，制造研究所将采购结果及成交候选供应商名单进行公示，在公示日内无异议后，与成交供应商签订采购合同。</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numPr>
          <w:ilvl w:val="0"/>
          <w:numId w:val="2"/>
        </w:numPr>
        <w:ind w:leftChars="0"/>
        <w:rPr>
          <w:rFonts w:hint="eastAsia"/>
          <w:b/>
          <w:bCs/>
          <w:sz w:val="28"/>
          <w:szCs w:val="28"/>
          <w:lang w:val="en-US" w:eastAsia="zh-CN"/>
        </w:rPr>
      </w:pPr>
      <w:r>
        <w:rPr>
          <w:rFonts w:hint="eastAsia"/>
          <w:b/>
          <w:bCs/>
          <w:sz w:val="28"/>
          <w:szCs w:val="28"/>
          <w:lang w:val="en-US" w:eastAsia="zh-CN"/>
        </w:rPr>
        <w:t>项目总体要求</w:t>
      </w:r>
    </w:p>
    <w:p>
      <w:pPr>
        <w:pStyle w:val="2"/>
        <w:numPr>
          <w:ilvl w:val="0"/>
          <w:numId w:val="3"/>
        </w:numPr>
        <w:ind w:left="0" w:leftChars="0" w:firstLine="0" w:firstLineChars="0"/>
        <w:rPr>
          <w:rFonts w:hint="eastAsia" w:ascii="宋体" w:hAnsi="宋体" w:eastAsia="宋体" w:cs="宋体"/>
          <w:bCs/>
          <w:kern w:val="2"/>
          <w:sz w:val="28"/>
          <w:szCs w:val="28"/>
          <w:lang w:val="en-US" w:eastAsia="zh-CN" w:bidi="ar-SA"/>
        </w:rPr>
      </w:pPr>
      <w:r>
        <w:rPr>
          <w:rFonts w:hint="eastAsia" w:ascii="宋体" w:hAnsi="宋体" w:cs="宋体"/>
          <w:bCs/>
          <w:kern w:val="2"/>
          <w:sz w:val="28"/>
          <w:szCs w:val="28"/>
          <w:lang w:val="en-US" w:eastAsia="zh-CN" w:bidi="ar-SA"/>
        </w:rPr>
        <w:t>设备使用条件</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年有效工作日：251日</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日有效工作时间：7.5h</w:t>
      </w:r>
    </w:p>
    <w:p>
      <w:pPr>
        <w:numPr>
          <w:ilvl w:val="0"/>
          <w:numId w:val="0"/>
        </w:num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日抛丸油漆下线批次：3次</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批下线车体数量：40台</w:t>
      </w:r>
    </w:p>
    <w:p>
      <w:pPr>
        <w:numPr>
          <w:ilvl w:val="0"/>
          <w:numId w:val="0"/>
        </w:numPr>
        <w:rPr>
          <w:rFonts w:hint="default"/>
          <w:lang w:val="en-US" w:eastAsia="zh-CN"/>
        </w:rPr>
      </w:pPr>
      <w:r>
        <w:rPr>
          <w:rFonts w:hint="eastAsia" w:ascii="宋体" w:hAnsi="宋体" w:eastAsia="宋体" w:cs="宋体"/>
          <w:sz w:val="28"/>
          <w:szCs w:val="28"/>
          <w:lang w:val="en-US" w:eastAsia="zh-CN"/>
        </w:rPr>
        <w:t>批下线车体节拍：1.07min/台</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压缩空气：≤0.5MPa</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环境温度：-15~45℃</w:t>
      </w:r>
    </w:p>
    <w:p>
      <w:pPr>
        <w:numPr>
          <w:ilvl w:val="0"/>
          <w:numId w:val="0"/>
        </w:numPr>
        <w:rPr>
          <w:rFonts w:hint="eastAsia" w:ascii="宋体" w:hAnsi="宋体" w:eastAsia="宋体" w:cs="宋体"/>
          <w:bCs/>
          <w:kern w:val="2"/>
          <w:sz w:val="28"/>
          <w:szCs w:val="28"/>
          <w:lang w:val="en-US" w:eastAsia="zh-CN" w:bidi="ar-SA"/>
        </w:rPr>
      </w:pPr>
      <w:r>
        <w:rPr>
          <w:rFonts w:hint="eastAsia" w:ascii="宋体" w:hAnsi="宋体" w:eastAsia="宋体" w:cs="宋体"/>
          <w:sz w:val="28"/>
          <w:szCs w:val="28"/>
          <w:lang w:val="en-US" w:eastAsia="zh-CN"/>
        </w:rPr>
        <w:t>电压：380V（-10%～10%）  频率：50Hz</w:t>
      </w:r>
    </w:p>
    <w:p>
      <w:pPr>
        <w:pStyle w:val="2"/>
        <w:numPr>
          <w:ilvl w:val="0"/>
          <w:numId w:val="3"/>
        </w:numPr>
        <w:ind w:left="0" w:leftChars="0" w:firstLine="0" w:firstLineChars="0"/>
        <w:rPr>
          <w:rFonts w:hint="eastAsia" w:ascii="宋体" w:hAnsi="宋体" w:eastAsia="宋体" w:cs="宋体"/>
          <w:bCs/>
          <w:kern w:val="2"/>
          <w:sz w:val="28"/>
          <w:szCs w:val="28"/>
          <w:lang w:val="en-US" w:eastAsia="zh-CN" w:bidi="ar-SA"/>
        </w:rPr>
      </w:pPr>
      <w:r>
        <w:rPr>
          <w:rFonts w:hint="eastAsia" w:ascii="宋体" w:hAnsi="宋体" w:cs="宋体"/>
          <w:bCs/>
          <w:kern w:val="2"/>
          <w:sz w:val="28"/>
          <w:szCs w:val="28"/>
          <w:lang w:val="en-US" w:eastAsia="zh-CN" w:bidi="ar-SA"/>
        </w:rPr>
        <w:t>线体输送对象</w:t>
      </w:r>
    </w:p>
    <w:p>
      <w:pPr>
        <w:pStyle w:val="2"/>
        <w:numPr>
          <w:ilvl w:val="0"/>
          <w:numId w:val="0"/>
        </w:numPr>
        <w:ind w:firstLine="560" w:firstLineChars="200"/>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输送对象为小吨位车间承担装配的K系列、K2系列、H2000系列</w:t>
      </w:r>
      <w:r>
        <w:rPr>
          <w:rFonts w:hint="eastAsia" w:ascii="宋体" w:hAnsi="宋体" w:cs="宋体"/>
          <w:bCs/>
          <w:kern w:val="2"/>
          <w:sz w:val="28"/>
          <w:szCs w:val="28"/>
          <w:lang w:val="en-US" w:eastAsia="zh-CN" w:bidi="ar-SA"/>
        </w:rPr>
        <w:t>抛丸油漆后的</w:t>
      </w:r>
      <w:r>
        <w:rPr>
          <w:rFonts w:hint="eastAsia" w:ascii="宋体" w:hAnsi="宋体" w:eastAsia="宋体" w:cs="宋体"/>
          <w:bCs/>
          <w:kern w:val="2"/>
          <w:sz w:val="28"/>
          <w:szCs w:val="28"/>
          <w:lang w:val="en-US" w:eastAsia="zh-CN" w:bidi="ar-SA"/>
        </w:rPr>
        <w:t>车体，具体</w:t>
      </w:r>
      <w:r>
        <w:rPr>
          <w:rFonts w:hint="eastAsia" w:ascii="宋体" w:hAnsi="宋体" w:cs="宋体"/>
          <w:bCs/>
          <w:kern w:val="2"/>
          <w:sz w:val="28"/>
          <w:szCs w:val="28"/>
          <w:lang w:val="en-US" w:eastAsia="zh-CN" w:bidi="ar-SA"/>
        </w:rPr>
        <w:t>参数为</w:t>
      </w:r>
      <w:r>
        <w:rPr>
          <w:rFonts w:hint="eastAsia" w:ascii="宋体" w:hAnsi="宋体" w:eastAsia="宋体" w:cs="宋体"/>
          <w:bCs/>
          <w:kern w:val="2"/>
          <w:sz w:val="28"/>
          <w:szCs w:val="28"/>
          <w:lang w:val="en-US" w:eastAsia="zh-CN" w:bidi="ar-SA"/>
        </w:rPr>
        <w:t>：</w:t>
      </w:r>
    </w:p>
    <w:tbl>
      <w:tblPr>
        <w:tblStyle w:val="8"/>
        <w:tblW w:w="7680" w:type="dxa"/>
        <w:jc w:val="center"/>
        <w:tblInd w:w="3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250"/>
        <w:gridCol w:w="2805"/>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车型</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外型尺寸（长×宽×高）</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重量（Kg)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K2系列3~3.8t</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2127×1224×781</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K2系列2~2.5t</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2027×1170×781</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K2系列1~1.8t</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1797×1170×781</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K系列3~3.5t</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2052×1225×697</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K系列2~2.5t</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1994×1170×697</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K系列3.8t</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2252×1225×697</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K系列1.5~1.8t</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1776×1090×709</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新H2000系列3~3.5t</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2077×1225×737</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新H2000系列2~2.5t</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2018×1150×692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H2000系列3~3.5t</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2077×1225×692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H2000系列2~2.5t</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2018×1150×692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t>
            </w:r>
          </w:p>
        </w:tc>
      </w:tr>
    </w:tbl>
    <w:p>
      <w:pPr>
        <w:numPr>
          <w:ilvl w:val="0"/>
          <w:numId w:val="0"/>
        </w:numPr>
        <w:ind w:leftChars="0" w:right="320" w:rightChars="0"/>
        <w:jc w:val="both"/>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2.1 K2系列3~3.8t车体</w:t>
      </w:r>
    </w:p>
    <w:p>
      <w:pPr>
        <w:pStyle w:val="2"/>
        <w:ind w:left="0" w:leftChars="0" w:firstLine="0" w:firstLineChars="0"/>
        <w:jc w:val="both"/>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drawing>
          <wp:inline distT="0" distB="0" distL="114300" distR="114300">
            <wp:extent cx="5305425" cy="3752215"/>
            <wp:effectExtent l="0" t="0" r="9525" b="635"/>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4"/>
                    <a:stretch>
                      <a:fillRect/>
                    </a:stretch>
                  </pic:blipFill>
                  <pic:spPr>
                    <a:xfrm>
                      <a:off x="0" y="0"/>
                      <a:ext cx="5305425" cy="3752215"/>
                    </a:xfrm>
                    <a:prstGeom prst="rect">
                      <a:avLst/>
                    </a:prstGeom>
                  </pic:spPr>
                </pic:pic>
              </a:graphicData>
            </a:graphic>
          </wp:inline>
        </w:drawing>
      </w:r>
    </w:p>
    <w:p>
      <w:pPr>
        <w:numPr>
          <w:ilvl w:val="0"/>
          <w:numId w:val="0"/>
        </w:numPr>
        <w:ind w:leftChars="0" w:right="320" w:rightChars="0"/>
        <w:jc w:val="both"/>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2.2 K2系列2~2.5t车体</w:t>
      </w:r>
    </w:p>
    <w:p>
      <w:pPr>
        <w:numPr>
          <w:ilvl w:val="0"/>
          <w:numId w:val="0"/>
        </w:numPr>
        <w:ind w:leftChars="0" w:right="320" w:rightChars="0"/>
        <w:jc w:val="both"/>
        <w:rPr>
          <w:rFonts w:hint="default"/>
          <w:lang w:val="en-US" w:eastAsia="zh-CN"/>
        </w:rPr>
      </w:pPr>
      <w:r>
        <w:rPr>
          <w:rFonts w:hint="eastAsia" w:ascii="宋体" w:hAnsi="宋体" w:eastAsia="宋体" w:cs="宋体"/>
          <w:bCs/>
          <w:kern w:val="2"/>
          <w:sz w:val="28"/>
          <w:szCs w:val="28"/>
          <w:lang w:val="en-US" w:eastAsia="zh-CN" w:bidi="ar-SA"/>
        </w:rPr>
        <w:drawing>
          <wp:inline distT="0" distB="0" distL="114300" distR="114300">
            <wp:extent cx="5363845" cy="3972560"/>
            <wp:effectExtent l="0" t="0" r="8255" b="8890"/>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5"/>
                    <a:stretch>
                      <a:fillRect/>
                    </a:stretch>
                  </pic:blipFill>
                  <pic:spPr>
                    <a:xfrm>
                      <a:off x="0" y="0"/>
                      <a:ext cx="5363845" cy="3972560"/>
                    </a:xfrm>
                    <a:prstGeom prst="rect">
                      <a:avLst/>
                    </a:prstGeom>
                  </pic:spPr>
                </pic:pic>
              </a:graphicData>
            </a:graphic>
          </wp:inline>
        </w:drawing>
      </w:r>
    </w:p>
    <w:p>
      <w:pPr>
        <w:numPr>
          <w:ilvl w:val="0"/>
          <w:numId w:val="0"/>
        </w:numPr>
        <w:ind w:leftChars="0" w:right="320" w:rightChars="0"/>
        <w:jc w:val="both"/>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2.3 K2系列1~1.8t车体</w:t>
      </w:r>
    </w:p>
    <w:p>
      <w:pPr>
        <w:pStyle w:val="2"/>
        <w:widowControl w:val="0"/>
        <w:numPr>
          <w:ilvl w:val="0"/>
          <w:numId w:val="0"/>
        </w:numPr>
        <w:spacing w:after="120"/>
        <w:jc w:val="both"/>
        <w:rPr>
          <w:rFonts w:hint="default"/>
          <w:lang w:val="en-US" w:eastAsia="zh-CN"/>
        </w:rPr>
      </w:pPr>
      <w:r>
        <w:rPr>
          <w:rFonts w:hint="default"/>
          <w:lang w:val="en-US" w:eastAsia="zh-CN"/>
        </w:rPr>
        <w:drawing>
          <wp:inline distT="0" distB="0" distL="114300" distR="114300">
            <wp:extent cx="5491480" cy="3870960"/>
            <wp:effectExtent l="0" t="0" r="13970" b="15240"/>
            <wp:docPr id="3" name="图片 3" descr="K2 1~1.8t车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K2 1~1.8t车体"/>
                    <pic:cNvPicPr>
                      <a:picLocks noChangeAspect="1"/>
                    </pic:cNvPicPr>
                  </pic:nvPicPr>
                  <pic:blipFill>
                    <a:blip r:embed="rId6"/>
                    <a:stretch>
                      <a:fillRect/>
                    </a:stretch>
                  </pic:blipFill>
                  <pic:spPr>
                    <a:xfrm>
                      <a:off x="0" y="0"/>
                      <a:ext cx="5491480" cy="3870960"/>
                    </a:xfrm>
                    <a:prstGeom prst="rect">
                      <a:avLst/>
                    </a:prstGeom>
                  </pic:spPr>
                </pic:pic>
              </a:graphicData>
            </a:graphic>
          </wp:inline>
        </w:drawing>
      </w:r>
    </w:p>
    <w:p>
      <w:pPr>
        <w:numPr>
          <w:ilvl w:val="0"/>
          <w:numId w:val="0"/>
        </w:numPr>
        <w:ind w:leftChars="0" w:right="320" w:rightChars="0"/>
        <w:jc w:val="both"/>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2.4 K系列3~3.5t车体</w:t>
      </w:r>
    </w:p>
    <w:p>
      <w:pPr>
        <w:pStyle w:val="2"/>
        <w:widowControl w:val="0"/>
        <w:numPr>
          <w:ilvl w:val="0"/>
          <w:numId w:val="0"/>
        </w:numPr>
        <w:spacing w:after="120"/>
        <w:jc w:val="both"/>
        <w:rPr>
          <w:rFonts w:hint="default"/>
          <w:lang w:val="en-US" w:eastAsia="zh-CN"/>
        </w:rPr>
      </w:pPr>
      <w:r>
        <w:rPr>
          <w:rFonts w:hint="default"/>
          <w:lang w:val="en-US" w:eastAsia="zh-CN"/>
        </w:rPr>
        <w:drawing>
          <wp:inline distT="0" distB="0" distL="114300" distR="114300">
            <wp:extent cx="5503545" cy="3891280"/>
            <wp:effectExtent l="0" t="0" r="1905" b="13970"/>
            <wp:docPr id="4" name="图片 4" descr="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K3"/>
                    <pic:cNvPicPr>
                      <a:picLocks noChangeAspect="1"/>
                    </pic:cNvPicPr>
                  </pic:nvPicPr>
                  <pic:blipFill>
                    <a:blip r:embed="rId7"/>
                    <a:stretch>
                      <a:fillRect/>
                    </a:stretch>
                  </pic:blipFill>
                  <pic:spPr>
                    <a:xfrm>
                      <a:off x="0" y="0"/>
                      <a:ext cx="5503545" cy="3891280"/>
                    </a:xfrm>
                    <a:prstGeom prst="rect">
                      <a:avLst/>
                    </a:prstGeom>
                  </pic:spPr>
                </pic:pic>
              </a:graphicData>
            </a:graphic>
          </wp:inline>
        </w:drawing>
      </w:r>
    </w:p>
    <w:p>
      <w:pPr>
        <w:numPr>
          <w:ilvl w:val="0"/>
          <w:numId w:val="0"/>
        </w:numPr>
        <w:ind w:leftChars="0" w:right="320" w:rightChars="0"/>
        <w:jc w:val="both"/>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2.5 K系列2~2.5t车体</w:t>
      </w:r>
    </w:p>
    <w:p>
      <w:pPr>
        <w:pStyle w:val="2"/>
        <w:numPr>
          <w:ilvl w:val="0"/>
          <w:numId w:val="0"/>
        </w:numPr>
        <w:ind w:leftChars="0"/>
        <w:rPr>
          <w:rFonts w:hint="default"/>
          <w:lang w:val="en-US" w:eastAsia="zh-CN"/>
        </w:rPr>
      </w:pPr>
      <w:r>
        <w:rPr>
          <w:rFonts w:hint="default"/>
          <w:lang w:val="en-US" w:eastAsia="zh-CN"/>
        </w:rPr>
        <w:drawing>
          <wp:inline distT="0" distB="0" distL="114300" distR="114300">
            <wp:extent cx="5532120" cy="3902710"/>
            <wp:effectExtent l="0" t="0" r="11430" b="2540"/>
            <wp:docPr id="5" name="图片 5" descr="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K 2"/>
                    <pic:cNvPicPr>
                      <a:picLocks noChangeAspect="1"/>
                    </pic:cNvPicPr>
                  </pic:nvPicPr>
                  <pic:blipFill>
                    <a:blip r:embed="rId8"/>
                    <a:stretch>
                      <a:fillRect/>
                    </a:stretch>
                  </pic:blipFill>
                  <pic:spPr>
                    <a:xfrm>
                      <a:off x="0" y="0"/>
                      <a:ext cx="5532120" cy="3902710"/>
                    </a:xfrm>
                    <a:prstGeom prst="rect">
                      <a:avLst/>
                    </a:prstGeom>
                  </pic:spPr>
                </pic:pic>
              </a:graphicData>
            </a:graphic>
          </wp:inline>
        </w:drawing>
      </w:r>
    </w:p>
    <w:p>
      <w:pPr>
        <w:numPr>
          <w:ilvl w:val="0"/>
          <w:numId w:val="0"/>
        </w:numPr>
        <w:ind w:leftChars="0" w:right="320" w:rightChars="0"/>
        <w:jc w:val="both"/>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2.6 K系列3.8t车体</w:t>
      </w:r>
    </w:p>
    <w:p>
      <w:pPr>
        <w:pStyle w:val="2"/>
        <w:numPr>
          <w:ilvl w:val="0"/>
          <w:numId w:val="0"/>
        </w:numPr>
        <w:ind w:leftChars="0"/>
        <w:rPr>
          <w:rFonts w:hint="eastAsia" w:ascii="宋体" w:hAnsi="宋体" w:eastAsia="宋体" w:cs="宋体"/>
          <w:bCs/>
          <w:kern w:val="2"/>
          <w:sz w:val="28"/>
          <w:szCs w:val="28"/>
          <w:lang w:val="en-US" w:eastAsia="zh-CN" w:bidi="ar-SA"/>
        </w:rPr>
      </w:pPr>
      <w:r>
        <w:rPr>
          <w:rFonts w:hint="default"/>
          <w:lang w:val="en-US" w:eastAsia="zh-CN"/>
        </w:rPr>
        <w:drawing>
          <wp:inline distT="0" distB="0" distL="114300" distR="114300">
            <wp:extent cx="5543550" cy="3921760"/>
            <wp:effectExtent l="0" t="0" r="0" b="2540"/>
            <wp:docPr id="6" name="图片 6" descr="K 3.8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K 3.8t"/>
                    <pic:cNvPicPr>
                      <a:picLocks noChangeAspect="1"/>
                    </pic:cNvPicPr>
                  </pic:nvPicPr>
                  <pic:blipFill>
                    <a:blip r:embed="rId9"/>
                    <a:stretch>
                      <a:fillRect/>
                    </a:stretch>
                  </pic:blipFill>
                  <pic:spPr>
                    <a:xfrm>
                      <a:off x="0" y="0"/>
                      <a:ext cx="5543550" cy="3921760"/>
                    </a:xfrm>
                    <a:prstGeom prst="rect">
                      <a:avLst/>
                    </a:prstGeom>
                  </pic:spPr>
                </pic:pic>
              </a:graphicData>
            </a:graphic>
          </wp:inline>
        </w:drawing>
      </w:r>
      <w:r>
        <w:rPr>
          <w:rFonts w:hint="eastAsia" w:ascii="宋体" w:hAnsi="宋体" w:eastAsia="宋体" w:cs="宋体"/>
          <w:bCs/>
          <w:kern w:val="2"/>
          <w:sz w:val="28"/>
          <w:szCs w:val="28"/>
          <w:lang w:val="en-US" w:eastAsia="zh-CN" w:bidi="ar-SA"/>
        </w:rPr>
        <w:t>2.7 K系列1~.8t车体</w:t>
      </w:r>
    </w:p>
    <w:p>
      <w:pPr>
        <w:pStyle w:val="2"/>
        <w:numPr>
          <w:ilvl w:val="0"/>
          <w:numId w:val="0"/>
        </w:numPr>
        <w:ind w:leftChars="0"/>
        <w:rPr>
          <w:rFonts w:hint="default"/>
          <w:lang w:val="en-US" w:eastAsia="zh-CN"/>
        </w:rPr>
      </w:pPr>
      <w:r>
        <w:rPr>
          <w:rFonts w:hint="default"/>
          <w:lang w:val="en-US" w:eastAsia="zh-CN"/>
        </w:rPr>
        <w:drawing>
          <wp:inline distT="0" distB="0" distL="114300" distR="114300">
            <wp:extent cx="5323840" cy="3753485"/>
            <wp:effectExtent l="0" t="0" r="10160" b="18415"/>
            <wp:docPr id="7" name="图片 7" descr="K 1~1.8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K 1~1.8t"/>
                    <pic:cNvPicPr>
                      <a:picLocks noChangeAspect="1"/>
                    </pic:cNvPicPr>
                  </pic:nvPicPr>
                  <pic:blipFill>
                    <a:blip r:embed="rId10"/>
                    <a:stretch>
                      <a:fillRect/>
                    </a:stretch>
                  </pic:blipFill>
                  <pic:spPr>
                    <a:xfrm>
                      <a:off x="0" y="0"/>
                      <a:ext cx="5323840" cy="3753485"/>
                    </a:xfrm>
                    <a:prstGeom prst="rect">
                      <a:avLst/>
                    </a:prstGeom>
                  </pic:spPr>
                </pic:pic>
              </a:graphicData>
            </a:graphic>
          </wp:inline>
        </w:drawing>
      </w:r>
    </w:p>
    <w:p>
      <w:pPr>
        <w:numPr>
          <w:ilvl w:val="0"/>
          <w:numId w:val="0"/>
        </w:numPr>
        <w:ind w:leftChars="0" w:right="320" w:rightChars="0"/>
        <w:jc w:val="both"/>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2.8 新H2000系列3~3.5t车体</w:t>
      </w:r>
    </w:p>
    <w:p>
      <w:pPr>
        <w:pStyle w:val="2"/>
        <w:numPr>
          <w:ilvl w:val="0"/>
          <w:numId w:val="0"/>
        </w:numPr>
        <w:ind w:leftChars="0"/>
        <w:rPr>
          <w:rFonts w:hint="default"/>
          <w:lang w:val="en-US" w:eastAsia="zh-CN"/>
        </w:rPr>
      </w:pPr>
      <w:r>
        <w:rPr>
          <w:rFonts w:hint="default"/>
          <w:lang w:val="en-US" w:eastAsia="zh-CN"/>
        </w:rPr>
        <w:drawing>
          <wp:inline distT="0" distB="0" distL="114300" distR="114300">
            <wp:extent cx="5341620" cy="3783965"/>
            <wp:effectExtent l="0" t="0" r="11430" b="6985"/>
            <wp:docPr id="8" name="图片 8" descr="新H2000系列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新H2000系列3~3.5"/>
                    <pic:cNvPicPr>
                      <a:picLocks noChangeAspect="1"/>
                    </pic:cNvPicPr>
                  </pic:nvPicPr>
                  <pic:blipFill>
                    <a:blip r:embed="rId11"/>
                    <a:stretch>
                      <a:fillRect/>
                    </a:stretch>
                  </pic:blipFill>
                  <pic:spPr>
                    <a:xfrm>
                      <a:off x="0" y="0"/>
                      <a:ext cx="5341620" cy="3783965"/>
                    </a:xfrm>
                    <a:prstGeom prst="rect">
                      <a:avLst/>
                    </a:prstGeom>
                  </pic:spPr>
                </pic:pic>
              </a:graphicData>
            </a:graphic>
          </wp:inline>
        </w:drawing>
      </w:r>
    </w:p>
    <w:p>
      <w:pPr>
        <w:numPr>
          <w:ilvl w:val="0"/>
          <w:numId w:val="0"/>
        </w:numPr>
        <w:ind w:leftChars="0" w:right="320" w:rightChars="0"/>
        <w:jc w:val="both"/>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2.9 新H2000系列2~2.5t车体</w:t>
      </w:r>
    </w:p>
    <w:p>
      <w:pPr>
        <w:pStyle w:val="2"/>
        <w:numPr>
          <w:ilvl w:val="0"/>
          <w:numId w:val="0"/>
        </w:numPr>
        <w:ind w:leftChars="0"/>
        <w:rPr>
          <w:rFonts w:hint="default"/>
          <w:lang w:val="en-US" w:eastAsia="zh-CN"/>
        </w:rPr>
      </w:pPr>
      <w:r>
        <w:rPr>
          <w:rFonts w:hint="default"/>
          <w:lang w:val="en-US" w:eastAsia="zh-CN"/>
        </w:rPr>
        <w:drawing>
          <wp:inline distT="0" distB="0" distL="114300" distR="114300">
            <wp:extent cx="5545455" cy="3913505"/>
            <wp:effectExtent l="0" t="0" r="17145" b="10795"/>
            <wp:docPr id="9" name="图片 9" descr="新 2~2.5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新 2~2.5t"/>
                    <pic:cNvPicPr>
                      <a:picLocks noChangeAspect="1"/>
                    </pic:cNvPicPr>
                  </pic:nvPicPr>
                  <pic:blipFill>
                    <a:blip r:embed="rId12"/>
                    <a:stretch>
                      <a:fillRect/>
                    </a:stretch>
                  </pic:blipFill>
                  <pic:spPr>
                    <a:xfrm>
                      <a:off x="0" y="0"/>
                      <a:ext cx="5545455" cy="3913505"/>
                    </a:xfrm>
                    <a:prstGeom prst="rect">
                      <a:avLst/>
                    </a:prstGeom>
                  </pic:spPr>
                </pic:pic>
              </a:graphicData>
            </a:graphic>
          </wp:inline>
        </w:drawing>
      </w:r>
    </w:p>
    <w:p>
      <w:pPr>
        <w:numPr>
          <w:ilvl w:val="0"/>
          <w:numId w:val="0"/>
        </w:numPr>
        <w:ind w:leftChars="0" w:right="320" w:rightChars="0"/>
        <w:jc w:val="both"/>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2.10 H2000系列3~3.5t车体</w:t>
      </w:r>
    </w:p>
    <w:p>
      <w:pPr>
        <w:pStyle w:val="2"/>
        <w:numPr>
          <w:ilvl w:val="0"/>
          <w:numId w:val="0"/>
        </w:numPr>
        <w:ind w:leftChars="0"/>
        <w:rPr>
          <w:rFonts w:hint="eastAsia"/>
          <w:lang w:val="en-US" w:eastAsia="zh-CN"/>
        </w:rPr>
      </w:pPr>
      <w:r>
        <w:rPr>
          <w:rFonts w:hint="eastAsia"/>
          <w:lang w:val="en-US" w:eastAsia="zh-CN"/>
        </w:rPr>
        <w:drawing>
          <wp:inline distT="0" distB="0" distL="114300" distR="114300">
            <wp:extent cx="5509895" cy="3886200"/>
            <wp:effectExtent l="0" t="0" r="14605" b="0"/>
            <wp:docPr id="10" name="图片 10" descr="H2000系列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2000系列3~3.5"/>
                    <pic:cNvPicPr>
                      <a:picLocks noChangeAspect="1"/>
                    </pic:cNvPicPr>
                  </pic:nvPicPr>
                  <pic:blipFill>
                    <a:blip r:embed="rId13"/>
                    <a:stretch>
                      <a:fillRect/>
                    </a:stretch>
                  </pic:blipFill>
                  <pic:spPr>
                    <a:xfrm>
                      <a:off x="0" y="0"/>
                      <a:ext cx="5509895" cy="3886200"/>
                    </a:xfrm>
                    <a:prstGeom prst="rect">
                      <a:avLst/>
                    </a:prstGeom>
                  </pic:spPr>
                </pic:pic>
              </a:graphicData>
            </a:graphic>
          </wp:inline>
        </w:drawing>
      </w:r>
    </w:p>
    <w:p>
      <w:pPr>
        <w:numPr>
          <w:ilvl w:val="0"/>
          <w:numId w:val="0"/>
        </w:numPr>
        <w:ind w:leftChars="0" w:right="320" w:rightChars="0"/>
        <w:jc w:val="both"/>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2.11 H2000系列2~2.5t车体</w:t>
      </w:r>
    </w:p>
    <w:p>
      <w:pPr>
        <w:pStyle w:val="2"/>
        <w:numPr>
          <w:ilvl w:val="0"/>
          <w:numId w:val="0"/>
        </w:numPr>
        <w:ind w:leftChars="0"/>
        <w:rPr>
          <w:rFonts w:hint="default"/>
          <w:lang w:val="en-US" w:eastAsia="zh-CN"/>
        </w:rPr>
      </w:pPr>
      <w:r>
        <w:rPr>
          <w:rFonts w:hint="default"/>
          <w:lang w:val="en-US" w:eastAsia="zh-CN"/>
        </w:rPr>
        <w:drawing>
          <wp:inline distT="0" distB="0" distL="114300" distR="114300">
            <wp:extent cx="5635625" cy="3971290"/>
            <wp:effectExtent l="0" t="0" r="3175" b="10160"/>
            <wp:docPr id="11" name="图片 1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
                    <pic:cNvPicPr>
                      <a:picLocks noChangeAspect="1"/>
                    </pic:cNvPicPr>
                  </pic:nvPicPr>
                  <pic:blipFill>
                    <a:blip r:embed="rId14"/>
                    <a:stretch>
                      <a:fillRect/>
                    </a:stretch>
                  </pic:blipFill>
                  <pic:spPr>
                    <a:xfrm>
                      <a:off x="0" y="0"/>
                      <a:ext cx="5635625" cy="3971290"/>
                    </a:xfrm>
                    <a:prstGeom prst="rect">
                      <a:avLst/>
                    </a:prstGeom>
                  </pic:spPr>
                </pic:pic>
              </a:graphicData>
            </a:graphic>
          </wp:inline>
        </w:drawing>
      </w:r>
    </w:p>
    <w:p>
      <w:pPr>
        <w:pStyle w:val="2"/>
        <w:numPr>
          <w:ilvl w:val="0"/>
          <w:numId w:val="0"/>
        </w:numPr>
        <w:ind w:leftChars="0"/>
        <w:rPr>
          <w:rFonts w:hint="default" w:ascii="宋体" w:hAnsi="宋体" w:eastAsia="宋体" w:cs="宋体"/>
          <w:sz w:val="28"/>
          <w:szCs w:val="28"/>
          <w:lang w:val="en-US" w:eastAsia="zh-CN"/>
        </w:rPr>
      </w:pPr>
      <w:r>
        <w:rPr>
          <w:rFonts w:hint="eastAsia" w:ascii="宋体" w:hAnsi="宋体" w:cs="宋体"/>
          <w:bCs/>
          <w:kern w:val="2"/>
          <w:sz w:val="28"/>
          <w:szCs w:val="28"/>
          <w:lang w:val="en-US" w:eastAsia="zh-CN" w:bidi="ar-SA"/>
        </w:rPr>
        <w:t>3、设备现场布局图</w:t>
      </w:r>
    </w:p>
    <w:p>
      <w:pPr>
        <w:pStyle w:val="2"/>
        <w:numPr>
          <w:ilvl w:val="0"/>
          <w:numId w:val="0"/>
        </w:numPr>
        <w:ind w:leftChars="0"/>
        <w:jc w:val="center"/>
        <w:rPr>
          <w:rFonts w:hint="default" w:ascii="宋体" w:hAnsi="宋体" w:cs="宋体"/>
          <w:sz w:val="28"/>
          <w:szCs w:val="28"/>
          <w:lang w:val="en-US" w:eastAsia="zh-CN"/>
        </w:rPr>
      </w:pPr>
      <w:r>
        <w:rPr>
          <w:rFonts w:hint="default" w:ascii="宋体" w:hAnsi="宋体" w:cs="宋体"/>
          <w:sz w:val="28"/>
          <w:szCs w:val="28"/>
          <w:lang w:val="en-US" w:eastAsia="zh-CN"/>
        </w:rPr>
        <w:drawing>
          <wp:inline distT="0" distB="0" distL="114300" distR="114300">
            <wp:extent cx="5617845" cy="5446395"/>
            <wp:effectExtent l="0" t="0" r="1905" b="1905"/>
            <wp:docPr id="13" name="图片 13" descr="布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布局"/>
                    <pic:cNvPicPr>
                      <a:picLocks noChangeAspect="1"/>
                    </pic:cNvPicPr>
                  </pic:nvPicPr>
                  <pic:blipFill>
                    <a:blip r:embed="rId15"/>
                    <a:stretch>
                      <a:fillRect/>
                    </a:stretch>
                  </pic:blipFill>
                  <pic:spPr>
                    <a:xfrm>
                      <a:off x="0" y="0"/>
                      <a:ext cx="5617845" cy="5446395"/>
                    </a:xfrm>
                    <a:prstGeom prst="rect">
                      <a:avLst/>
                    </a:prstGeom>
                  </pic:spPr>
                </pic:pic>
              </a:graphicData>
            </a:graphic>
          </wp:inline>
        </w:drawing>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4、车体输送工艺流程</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4.1  车体在上一工序抛丸油漆后，经抛丸油漆悬挂线自动输送至车体下线工位。</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4.2  油漆下线工位操作人员卸掉螺塞座、转向桥安装支架放置在车体上，卸掉油箱抛丸屏蔽盖板，放置在转运架上。（油箱屏蔽盖板循环使用）</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4.3  油漆下线工位操作人员起升下线平台（高度850mm），车体脱离抛丸油漆悬挂线，操作人员卸掉挂钩，车体随下线平台降低至车体输送线高度。</w:t>
      </w:r>
    </w:p>
    <w:p>
      <w:pPr>
        <w:spacing w:beforeLines="0" w:afterLines="0"/>
        <w:jc w:val="left"/>
        <w:rPr>
          <w:rFonts w:hint="eastAsia" w:ascii="宋体" w:hAnsi="宋体" w:cs="宋体"/>
          <w:sz w:val="28"/>
          <w:szCs w:val="28"/>
          <w:lang w:val="en-US" w:eastAsia="zh-CN"/>
        </w:rPr>
      </w:pPr>
      <w:r>
        <w:rPr>
          <w:rFonts w:hint="eastAsia" w:ascii="宋体" w:hAnsi="宋体" w:cs="宋体"/>
          <w:sz w:val="28"/>
          <w:szCs w:val="28"/>
          <w:lang w:val="en-US" w:eastAsia="zh-CN"/>
        </w:rPr>
        <w:t>4.4 油漆下线操作人员扫描条码，</w:t>
      </w:r>
      <w:r>
        <w:rPr>
          <w:rFonts w:hint="eastAsia" w:ascii="宋体" w:hAnsi="宋体" w:cs="宋体"/>
          <w:sz w:val="28"/>
          <w:szCs w:val="28"/>
          <w:lang w:val="zh-CN" w:eastAsia="zh-CN"/>
        </w:rPr>
        <w:t>车体下线自动输送线</w:t>
      </w:r>
      <w:r>
        <w:rPr>
          <w:rFonts w:hint="eastAsia" w:ascii="宋体" w:hAnsi="宋体" w:cs="宋体"/>
          <w:sz w:val="28"/>
          <w:szCs w:val="28"/>
          <w:lang w:val="en-US" w:eastAsia="zh-CN"/>
        </w:rPr>
        <w:t>（东西方向）自动输送车体至相应位置。</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4.5 桁架机械手根据条码扫描结果，抓取车体放入对应的南北方向车体自动输送线。</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4.6 车体自动输送至下线位置，清洗工位操作人员将车体推入清洗工位。</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4.7 清洗工位倾斜车体，油箱高压清洗装置自动清洗油箱。</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4.8 车体清洗完成后，清洗工位操作人员将车体推至吹干工位。</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4.9 吹干工位倾斜车体，吹干装置自动将油箱内部吹干。</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4.10 车体吹干后，清洗工位操作人员将车体推至车体上线工位。</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4.11 清洗工位操作人员将车体悬挂在车体自动输送装置上，自动输送车体至总装线。</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4.12 循环上述过程，完成车体抛丸下线及车体预装上线。</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（工序4.1~4.6为本次项目实施范围）</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5、项目实施要求</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5.1 项目实施后，可实现车体从抛丸油漆下线工位至清洗下线工位的无人化、自动化、智能化输送。</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5.2 项目实施后，自动输送区域可满足35台车体的存储。</w:t>
      </w:r>
    </w:p>
    <w:p>
      <w:pPr>
        <w:pStyle w:val="2"/>
        <w:numPr>
          <w:ilvl w:val="0"/>
          <w:numId w:val="0"/>
        </w:numPr>
        <w:ind w:leftChars="0"/>
        <w:rPr>
          <w:rFonts w:hint="eastAsia" w:ascii="宋体" w:hAnsi="宋体" w:cs="宋体"/>
          <w:sz w:val="28"/>
          <w:szCs w:val="28"/>
          <w:lang w:val="en-US" w:eastAsia="zh-CN"/>
        </w:rPr>
      </w:pPr>
      <w:r>
        <w:rPr>
          <w:rFonts w:hint="default" w:ascii="宋体" w:hAnsi="宋体" w:cs="宋体"/>
          <w:sz w:val="28"/>
          <w:szCs w:val="28"/>
          <w:lang w:val="en-US" w:eastAsia="zh-CN"/>
        </w:rPr>
        <w:t xml:space="preserve">5.3 </w:t>
      </w:r>
      <w:r>
        <w:rPr>
          <w:rFonts w:hint="eastAsia" w:ascii="宋体" w:hAnsi="宋体" w:cs="宋体"/>
          <w:sz w:val="28"/>
          <w:szCs w:val="28"/>
          <w:lang w:val="en-US" w:eastAsia="zh-CN"/>
        </w:rPr>
        <w:t>车体输送过程中，不得因输送线体、桁架机械手抓取装置及工件相互接触导致工件表面油漆损伤。</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5.4 车体输送满足抛丸油漆车体下线节拍要求。</w:t>
      </w:r>
    </w:p>
    <w:p>
      <w:pPr>
        <w:pStyle w:val="2"/>
        <w:numPr>
          <w:ilvl w:val="0"/>
          <w:numId w:val="0"/>
        </w:numPr>
        <w:ind w:leftChars="0"/>
        <w:rPr>
          <w:rFonts w:hint="eastAsia" w:ascii="宋体" w:hAnsi="宋体" w:cs="宋体"/>
          <w:sz w:val="28"/>
          <w:szCs w:val="28"/>
          <w:lang w:val="en-US" w:eastAsia="zh-CN"/>
        </w:rPr>
      </w:pPr>
    </w:p>
    <w:p>
      <w:pPr>
        <w:pStyle w:val="2"/>
        <w:numPr>
          <w:ilvl w:val="0"/>
          <w:numId w:val="0"/>
        </w:numPr>
        <w:ind w:leftChars="0"/>
        <w:rPr>
          <w:rFonts w:hint="eastAsia" w:ascii="宋体" w:hAnsi="宋体" w:cs="宋体"/>
          <w:sz w:val="28"/>
          <w:szCs w:val="28"/>
          <w:lang w:val="en-US" w:eastAsia="zh-CN"/>
        </w:rPr>
      </w:pPr>
    </w:p>
    <w:p>
      <w:pPr>
        <w:pStyle w:val="2"/>
        <w:numPr>
          <w:ilvl w:val="0"/>
          <w:numId w:val="0"/>
        </w:numPr>
        <w:ind w:leftChars="0"/>
        <w:rPr>
          <w:rFonts w:hint="eastAsia" w:ascii="宋体" w:hAnsi="宋体" w:cs="宋体"/>
          <w:sz w:val="28"/>
          <w:szCs w:val="28"/>
          <w:lang w:val="en-US" w:eastAsia="zh-CN"/>
        </w:rPr>
      </w:pPr>
    </w:p>
    <w:p>
      <w:pPr>
        <w:pStyle w:val="2"/>
        <w:numPr>
          <w:ilvl w:val="0"/>
          <w:numId w:val="0"/>
        </w:numPr>
        <w:ind w:leftChars="0"/>
        <w:rPr>
          <w:rFonts w:hint="eastAsia" w:ascii="宋体" w:hAnsi="宋体" w:cs="宋体"/>
          <w:sz w:val="28"/>
          <w:szCs w:val="28"/>
          <w:lang w:val="en-US" w:eastAsia="zh-CN"/>
        </w:rPr>
      </w:pPr>
    </w:p>
    <w:p>
      <w:pPr>
        <w:pStyle w:val="2"/>
        <w:numPr>
          <w:ilvl w:val="0"/>
          <w:numId w:val="0"/>
        </w:numPr>
        <w:ind w:leftChars="0"/>
        <w:rPr>
          <w:rFonts w:hint="default" w:ascii="宋体" w:hAnsi="宋体" w:cs="宋体"/>
          <w:sz w:val="28"/>
          <w:szCs w:val="28"/>
          <w:lang w:val="en-US" w:eastAsia="zh-CN"/>
        </w:rPr>
      </w:pPr>
    </w:p>
    <w:p>
      <w:pPr>
        <w:pStyle w:val="2"/>
        <w:numPr>
          <w:ilvl w:val="0"/>
          <w:numId w:val="0"/>
        </w:numPr>
        <w:rPr>
          <w:rFonts w:hint="eastAsia" w:ascii="宋体" w:hAnsi="宋体" w:cs="宋体"/>
          <w:sz w:val="28"/>
          <w:szCs w:val="28"/>
          <w:lang w:val="en-US" w:eastAsia="zh-CN"/>
        </w:rPr>
      </w:pPr>
    </w:p>
    <w:p>
      <w:pPr>
        <w:pStyle w:val="2"/>
        <w:numPr>
          <w:ilvl w:val="0"/>
          <w:numId w:val="0"/>
        </w:numPr>
        <w:ind w:leftChars="200"/>
        <w:rPr>
          <w:rFonts w:hint="default" w:ascii="宋体" w:hAnsi="宋体" w:cs="宋体"/>
          <w:sz w:val="28"/>
          <w:szCs w:val="28"/>
          <w:lang w:val="en-US" w:eastAsia="zh-CN"/>
        </w:rPr>
      </w:pPr>
    </w:p>
    <w:p>
      <w:pPr>
        <w:pStyle w:val="2"/>
        <w:numPr>
          <w:ilvl w:val="0"/>
          <w:numId w:val="0"/>
        </w:numPr>
        <w:ind w:leftChars="200"/>
        <w:rPr>
          <w:rFonts w:hint="default" w:ascii="宋体" w:hAnsi="宋体" w:cs="宋体"/>
          <w:sz w:val="28"/>
          <w:szCs w:val="28"/>
          <w:lang w:val="en-US" w:eastAsia="zh-CN"/>
        </w:rPr>
      </w:pPr>
    </w:p>
    <w:p>
      <w:pPr>
        <w:pStyle w:val="2"/>
        <w:numPr>
          <w:ilvl w:val="0"/>
          <w:numId w:val="0"/>
        </w:numPr>
        <w:rPr>
          <w:rFonts w:hint="default" w:ascii="宋体" w:hAnsi="宋体" w:cs="宋体"/>
          <w:sz w:val="28"/>
          <w:szCs w:val="28"/>
          <w:lang w:val="en-US" w:eastAsia="zh-CN"/>
        </w:rPr>
      </w:pPr>
    </w:p>
    <w:p>
      <w:pPr>
        <w:pStyle w:val="2"/>
        <w:numPr>
          <w:ilvl w:val="0"/>
          <w:numId w:val="0"/>
        </w:numPr>
        <w:rPr>
          <w:rFonts w:hint="default" w:ascii="宋体" w:hAnsi="宋体" w:cs="宋体"/>
          <w:sz w:val="28"/>
          <w:szCs w:val="28"/>
          <w:lang w:val="en-US" w:eastAsia="zh-CN"/>
        </w:rPr>
      </w:pPr>
    </w:p>
    <w:p>
      <w:pPr>
        <w:pStyle w:val="2"/>
        <w:numPr>
          <w:ilvl w:val="0"/>
          <w:numId w:val="0"/>
        </w:numPr>
        <w:rPr>
          <w:rFonts w:hint="default" w:ascii="宋体" w:hAnsi="宋体" w:cs="宋体"/>
          <w:sz w:val="28"/>
          <w:szCs w:val="28"/>
          <w:lang w:val="en-US" w:eastAsia="zh-CN"/>
        </w:rPr>
      </w:pPr>
    </w:p>
    <w:p>
      <w:pPr>
        <w:pStyle w:val="2"/>
        <w:numPr>
          <w:ilvl w:val="0"/>
          <w:numId w:val="0"/>
        </w:numPr>
        <w:rPr>
          <w:rFonts w:hint="default" w:ascii="宋体" w:hAnsi="宋体" w:cs="宋体"/>
          <w:sz w:val="28"/>
          <w:szCs w:val="28"/>
          <w:lang w:val="en-US" w:eastAsia="zh-CN"/>
        </w:rPr>
      </w:pPr>
    </w:p>
    <w:p>
      <w:pPr>
        <w:pStyle w:val="2"/>
        <w:numPr>
          <w:ilvl w:val="0"/>
          <w:numId w:val="0"/>
        </w:numPr>
        <w:rPr>
          <w:rFonts w:hint="default" w:ascii="宋体" w:hAnsi="宋体" w:cs="宋体"/>
          <w:sz w:val="28"/>
          <w:szCs w:val="28"/>
          <w:lang w:val="en-US" w:eastAsia="zh-CN"/>
        </w:rPr>
      </w:pPr>
    </w:p>
    <w:p>
      <w:pPr>
        <w:pStyle w:val="2"/>
        <w:numPr>
          <w:ilvl w:val="0"/>
          <w:numId w:val="0"/>
        </w:numPr>
        <w:rPr>
          <w:rFonts w:hint="default" w:ascii="宋体" w:hAnsi="宋体" w:cs="宋体"/>
          <w:sz w:val="28"/>
          <w:szCs w:val="28"/>
          <w:lang w:val="en-US" w:eastAsia="zh-CN"/>
        </w:rPr>
      </w:pPr>
    </w:p>
    <w:p>
      <w:pPr>
        <w:pStyle w:val="2"/>
        <w:numPr>
          <w:ilvl w:val="0"/>
          <w:numId w:val="0"/>
        </w:numPr>
        <w:rPr>
          <w:rFonts w:hint="default" w:ascii="宋体" w:hAnsi="宋体" w:cs="宋体"/>
          <w:sz w:val="28"/>
          <w:szCs w:val="28"/>
          <w:lang w:val="en-US" w:eastAsia="zh-CN"/>
        </w:rPr>
      </w:pPr>
    </w:p>
    <w:p>
      <w:pPr>
        <w:pStyle w:val="2"/>
        <w:numPr>
          <w:ilvl w:val="0"/>
          <w:numId w:val="0"/>
        </w:numPr>
        <w:rPr>
          <w:rFonts w:hint="default" w:ascii="宋体" w:hAnsi="宋体" w:cs="宋体"/>
          <w:sz w:val="28"/>
          <w:szCs w:val="28"/>
          <w:lang w:val="en-US" w:eastAsia="zh-CN"/>
        </w:rPr>
      </w:pPr>
    </w:p>
    <w:p>
      <w:pPr>
        <w:numPr>
          <w:ilvl w:val="0"/>
          <w:numId w:val="0"/>
        </w:numPr>
        <w:ind w:right="320" w:rightChars="0"/>
        <w:jc w:val="both"/>
        <w:rPr>
          <w:rFonts w:hint="eastAsia"/>
          <w:b/>
          <w:sz w:val="32"/>
          <w:szCs w:val="32"/>
          <w:lang w:val="en-US" w:eastAsia="zh-CN"/>
        </w:rPr>
      </w:pPr>
      <w:r>
        <w:rPr>
          <w:rFonts w:hint="eastAsia"/>
          <w:b/>
          <w:sz w:val="32"/>
          <w:szCs w:val="32"/>
          <w:lang w:val="en-US" w:eastAsia="zh-CN"/>
        </w:rPr>
        <w:t>三、车体输送自动化改造项目技术要求</w:t>
      </w:r>
    </w:p>
    <w:p>
      <w:pPr>
        <w:pStyle w:val="2"/>
        <w:numPr>
          <w:ilvl w:val="0"/>
          <w:numId w:val="0"/>
        </w:numPr>
        <w:ind w:leftChars="0"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车架输送自动化改造项目包括车体油漆下线工位改造、新增车体下线自动输送线（1条）、新增总装一线车体自动输送线（2条）、新增总装二线车体自动输送线（2条）、新增车体桁架机械手搬运装置、车体输送控制系统。</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1、车体油漆下线工位改造</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1.1车体油漆下线工位改造后，操作人员可通过下线平台上升（高度≥850mm），使车体抛丸油漆输送挂钩与车体脱离，操作人员卸掉挂钩后，车体下降至输送线输送高度。</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1.2 操作人员确认下降至输送高度后，将车体推入车体下线自动输送线。</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2、车体下线自动输送线</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2.1 车架下线自动输送线负责将车体由下线工位输送至桁架机械手抓取工位，共1条。</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2.2 车架下线自动输送线自西向东输送，输送线输送车体时不得与抛丸油漆循环线挂钩及立柱干涉。</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2.3 车体下线输送线在车体输送过程中运转自如，无卡滞现象。</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2.4 车体自动输送至抓取工位后，线体停止输送，待桁架机械手抓取工件离开输送线，确认安全后，方可输送。</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2.5 车体输送采用连续输送的方式，车体之间留有一定的间隙，避免输送过程中车体因接触产生油漆损伤。</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2.6 车体输送线输送车体采用链板线输送，链板宽度可满足所有输送对象的输送，输送过程中车体与链板不产生相对移动，避免损伤油漆。</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2.7 车体输送线输送速度自动匹配，在桁架机械手抓取车体过程中，车体不得上线。</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3、总装二线车体自动输送线</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3.1 总装二线车体自动输送线负责将总装二线装配的车体由车体上线位置输送至清洗工位，共2条。</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3.2 总装二线车体自动输送线位于改造区域东侧，相邻布置，输送方向自北向南。</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3.3总装二线车体自动输送线在车体输送过程中运转自如，无卡滞现象。</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3.4 桁架机械手抓取车体输送至上线位置，确认安全后，方可输送。</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3.5 清洗下线工位存在制品时，整线不得输送车体，操作人员确认车体离开清洗工位后，方可输送。</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3.6 车体输送采用连续输送的方式，车体之间留有一定的间隙，避免输送过程中车体因接触产生油漆损伤。</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3.7 总装二线车体自动输送线输送车体采用链板线输送，链板宽度可满足所有输送对象的输送，输送过程中车体与链板不产生相对移动，避免损伤油漆。</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3.8 总装二线车体自动输送线整线长度至少可满足5台任意输送对象的存储及输送。</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3.9 总装二线车体自动输送线设置过渡装置，确保车体可平稳输送至清洗工位滚筒输送线。</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4、总装一线车体自动输送线</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4.1 总装一线车体自动输送线负责将总装一线装配的车体由车体上线位置输送至清洗工位，共2条。</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4.2 总装一线车体自动输送线位于总装一线车体自动输送线西侧，相邻布置，输送方向自北向南。</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4.3总装一线车体自动输送线在车体输送过程中运转自如，无卡滞现象。</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4.4 桁架机械手抓取车体输送至上线位置，确认安全后，方可输送。</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4.5 清洗下线工位存在制品时，整线不得输送车体，操作人员确认车体离开清洗工位后，方可输送。</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4.6 车体输送采用连续输送的方式，车体之间留有一定的间隙，避免输送过程中车体因接触产生油漆损伤。</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4.7 总装一线车体自动输送线输送车体采用链板线输送，链板宽度可满足所有输送对象的输送，输送过程中车体与链板不产生相对移动，避免损伤油漆。</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4.8 总装二线车体自动输送线整线长度至少可满足9台任意输送对象的存储及输送。</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4.9 总装一线车体自动输送线设置过渡装置，确保车体可平稳输送至清洗工位滚筒输送线。</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5、车体桁架机械手搬运装置</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5.1 车架桁架机械手搬运装置包括桁架机械手安装框架、三轴搬运桁架机械手、车体抓取夹具及其余附件。</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5.2 桁架机械手安装框架高度应大于3400mm,避免与车间抛丸油漆线产生干涉。</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5.3 桁架机械手有效负载需满足车体输送需求。</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5.4 桁架机械手安装框架立柱可借用车架立柱，注意避让车间抛丸油漆线立柱。</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5.5 桁架机械手安装框架应安全可靠，在桁架机械手运行过程中不得有摇摆、震动等现象。</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5.6 桁架机械手工作范围需保证覆盖车架下线自动输送线车体抓取工位、总装一线车体自动输送线车体上线位置、总装一线车体自动输送线车体上线位置。</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5.7 桁架机械手抓取工件应牢靠安全，不因停电等意外情况导致掉落。</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5.8桁架机械手及车体抓取夹具设计合理，简单可靠，不于转运对象产生干涉。</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6、车体输送控制系统</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6.1 车架输送控制系统可实现对上述自动输送线、桁架机械手搬运装置的监控、控制。</w:t>
      </w:r>
    </w:p>
    <w:p>
      <w:pPr>
        <w:overflowPunct/>
        <w:jc w:val="left"/>
        <w:textAlignment w:val="auto"/>
        <w:rPr>
          <w:rFonts w:hint="eastAsia" w:ascii="宋体" w:hAnsi="宋体" w:cs="宋体"/>
          <w:sz w:val="28"/>
          <w:szCs w:val="28"/>
          <w:lang w:val="en-US" w:eastAsia="zh-CN"/>
        </w:rPr>
      </w:pPr>
      <w:r>
        <w:rPr>
          <w:rFonts w:hint="eastAsia" w:ascii="宋体" w:hAnsi="宋体" w:cs="宋体"/>
          <w:sz w:val="28"/>
          <w:szCs w:val="28"/>
          <w:lang w:val="en-US" w:eastAsia="zh-CN"/>
        </w:rPr>
        <w:t>6.2 控制系统具备显示产量，故障报警警示界面。</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6.3 输送线及桁架机械手可切换至手动模式，人工控制车体输送及搬运。</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6.4 控制系统通过扫描输送对象条码信息可自动匹配合适的输送方案、搬运方案。</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6.5 控制系统设置独立的操作监控界面，具有对输送线、桁架机械手的自动控制、参数检测调整、保护、故障报警等功能。</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6.6 控制界面为中文操作界面。</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6.7 控制系统灵敏可靠，故障少，操作及维护方便。</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6.8所有电气元件采用知名品牌，确保系统稳定可靠工作。</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6.9 控制系统的设计符合相关国家标准及行业规范。</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6.10 输送线需配置安全装置及急停按钮，急停按钮的设置符合相关安全标准。</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6.11任意急停按钮都可以停止整条线的动作，安全装置与控制系统实现连锁。</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6.12 输送对象开始下线前，所有输送线不得有输送对象，提醒操作人员确认后方可开始下线输送。</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7、其他要求</w:t>
      </w:r>
    </w:p>
    <w:p>
      <w:pPr>
        <w:numPr>
          <w:ilvl w:val="0"/>
          <w:numId w:val="0"/>
        </w:numPr>
        <w:rPr>
          <w:rFonts w:hint="default" w:ascii="宋体" w:hAnsi="宋体" w:eastAsia="宋体" w:cs="宋体"/>
          <w:bCs/>
          <w:kern w:val="2"/>
          <w:sz w:val="28"/>
          <w:szCs w:val="28"/>
          <w:lang w:val="en-US" w:eastAsia="zh-CN" w:bidi="ar-SA"/>
        </w:rPr>
      </w:pPr>
      <w:r>
        <w:rPr>
          <w:rFonts w:hint="eastAsia" w:ascii="宋体" w:hAnsi="宋体" w:eastAsia="宋体" w:cs="宋体"/>
          <w:sz w:val="28"/>
          <w:szCs w:val="28"/>
          <w:lang w:val="en-US" w:eastAsia="zh-CN"/>
        </w:rPr>
        <w:t>相</w:t>
      </w:r>
      <w:r>
        <w:rPr>
          <w:rFonts w:hint="eastAsia" w:ascii="宋体" w:hAnsi="宋体" w:eastAsia="宋体" w:cs="宋体"/>
          <w:bCs/>
          <w:kern w:val="2"/>
          <w:sz w:val="28"/>
          <w:szCs w:val="28"/>
          <w:lang w:val="en-US" w:eastAsia="zh-CN" w:bidi="ar-SA"/>
        </w:rPr>
        <w:t>关设备应具备设备联网功能，具体要求如下：</w:t>
      </w:r>
    </w:p>
    <w:p>
      <w:pPr>
        <w:numPr>
          <w:ilvl w:val="0"/>
          <w:numId w:val="0"/>
        </w:numPr>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7.1 硬件网络模块</w:t>
      </w:r>
    </w:p>
    <w:p>
      <w:pPr>
        <w:numPr>
          <w:ilvl w:val="0"/>
          <w:numId w:val="0"/>
        </w:numPr>
        <w:rPr>
          <w:rFonts w:hint="default" w:ascii="宋体" w:hAnsi="宋体" w:eastAsia="宋体" w:cs="宋体"/>
          <w:sz w:val="28"/>
          <w:szCs w:val="28"/>
          <w:lang w:val="en-US" w:eastAsia="zh-CN"/>
        </w:rPr>
      </w:pPr>
      <w:r>
        <w:rPr>
          <w:rFonts w:hint="eastAsia" w:ascii="宋体" w:hAnsi="宋体" w:eastAsia="宋体" w:cs="宋体"/>
          <w:bCs/>
          <w:kern w:val="2"/>
          <w:sz w:val="28"/>
          <w:szCs w:val="28"/>
          <w:lang w:val="en-US" w:eastAsia="zh-CN" w:bidi="ar-SA"/>
        </w:rPr>
        <w:t>所有采集设备必须预留至少一</w:t>
      </w:r>
      <w:r>
        <w:rPr>
          <w:rFonts w:hint="eastAsia" w:ascii="宋体" w:hAnsi="宋体" w:eastAsia="宋体" w:cs="宋体"/>
          <w:sz w:val="28"/>
          <w:szCs w:val="28"/>
          <w:lang w:val="en-US" w:eastAsia="zh-CN"/>
        </w:rPr>
        <w:t>个以太网接口，供设备联网使用</w:t>
      </w:r>
      <w:r>
        <w:rPr>
          <w:rFonts w:hint="eastAsia" w:ascii="宋体" w:hAnsi="宋体" w:cs="宋体"/>
          <w:sz w:val="28"/>
          <w:szCs w:val="28"/>
          <w:lang w:val="en-US" w:eastAsia="zh-CN"/>
        </w:rPr>
        <w:t>。</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7.2 网络规范要求</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所有PLC设备（含子PLC）网络IP地址必须按照需方网络规范统一划定，不能自行定义自己家设备的IP及子网掩码。机联网服务器端到现场设备端网络通畅，开放PLC端口</w:t>
      </w:r>
      <w:r>
        <w:rPr>
          <w:rFonts w:hint="eastAsia" w:ascii="宋体" w:hAnsi="宋体" w:cs="宋体"/>
          <w:sz w:val="28"/>
          <w:szCs w:val="28"/>
          <w:lang w:val="en-US" w:eastAsia="zh-CN"/>
        </w:rPr>
        <w:t>。</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7.3 PLC程序要求</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设备交付验收，设备厂家连同程序及典表一同交付给甲方，程序注释要清晰，具备可读性。并对PLC典表（PLC数据地址、代表的数据内容、数据长度、数据类型等说明文件）内容正确性负责。</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7.4 PLC数据采集要求</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需明确提供PLC型号（如：西门子S7300）、设备控制器详细型号（如：三菱Q03UDE  delem66t数控控制器）、PLC设备典表。</w:t>
      </w: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w:t>
      </w:r>
      <w:r>
        <w:rPr>
          <w:rFonts w:hint="eastAsia" w:ascii="宋体" w:hAnsi="宋体" w:cs="宋体"/>
          <w:sz w:val="28"/>
          <w:szCs w:val="28"/>
          <w:lang w:val="en-US" w:eastAsia="zh-CN"/>
        </w:rPr>
        <w:t>、</w:t>
      </w:r>
      <w:r>
        <w:rPr>
          <w:rFonts w:hint="eastAsia"/>
          <w:b/>
          <w:sz w:val="32"/>
          <w:szCs w:val="32"/>
          <w:lang w:val="en-US" w:eastAsia="zh-CN"/>
        </w:rPr>
        <w:t>设备通用技术要求</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1、设备符合项目要求，技术先进，运行连续有效，安全性高，综合能耗低，操作维护简单，运行费用低。</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2、设备的控制系统保证技术先进可靠，能够完成正常运行时各项技术指标和功能。</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3、设备采用标准的电气、仪表元器件和设备组件，控制系统应具有可维护性和可扩展性，主要元器件需为著名品牌。</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4、设备计量单位采用国家法定单位，设备制造材料执行国家最新标准。</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5、设备应符合国家相关标准及行业规范。</w:t>
      </w:r>
    </w:p>
    <w:p>
      <w:pPr>
        <w:numPr>
          <w:ilvl w:val="0"/>
          <w:numId w:val="0"/>
        </w:numPr>
        <w:rPr>
          <w:rFonts w:hint="eastAsia" w:ascii="Times New Roman" w:hAnsi="Times New Roman" w:cs="Times New Roman"/>
          <w:b/>
          <w:bCs/>
          <w:sz w:val="28"/>
          <w:szCs w:val="28"/>
          <w:lang w:val="en-US" w:eastAsia="zh-CN"/>
        </w:rPr>
      </w:pPr>
      <w:bookmarkStart w:id="0" w:name="_Toc131846010"/>
    </w:p>
    <w:p>
      <w:pPr>
        <w:numPr>
          <w:ilvl w:val="0"/>
          <w:numId w:val="0"/>
        </w:numPr>
        <w:rPr>
          <w:rFonts w:hint="eastAsia" w:ascii="Times New Roman" w:hAnsi="Times New Roman" w:cs="Times New Roman"/>
          <w:b/>
          <w:bCs/>
          <w:sz w:val="28"/>
          <w:szCs w:val="28"/>
          <w:lang w:val="en-US" w:eastAsia="zh-CN"/>
        </w:rPr>
      </w:pPr>
    </w:p>
    <w:p>
      <w:pPr>
        <w:numPr>
          <w:ilvl w:val="0"/>
          <w:numId w:val="0"/>
        </w:numPr>
        <w:rPr>
          <w:rFonts w:hint="eastAsia" w:ascii="Times New Roman" w:hAnsi="Times New Roman" w:cs="Times New Roman"/>
          <w:b/>
          <w:bCs/>
          <w:sz w:val="28"/>
          <w:szCs w:val="28"/>
          <w:lang w:val="en-US" w:eastAsia="zh-CN"/>
        </w:rPr>
      </w:pPr>
    </w:p>
    <w:p>
      <w:pPr>
        <w:numPr>
          <w:ilvl w:val="0"/>
          <w:numId w:val="0"/>
        </w:numPr>
        <w:rPr>
          <w:rFonts w:hint="eastAsia" w:ascii="Times New Roman" w:hAnsi="Times New Roman" w:cs="Times New Roman"/>
          <w:b/>
          <w:bCs/>
          <w:sz w:val="28"/>
          <w:szCs w:val="28"/>
          <w:lang w:val="en-US" w:eastAsia="zh-CN"/>
        </w:rPr>
      </w:pPr>
    </w:p>
    <w:p>
      <w:pPr>
        <w:numPr>
          <w:ilvl w:val="0"/>
          <w:numId w:val="0"/>
        </w:numPr>
        <w:rPr>
          <w:rFonts w:hint="eastAsia" w:ascii="Times New Roman" w:hAnsi="Times New Roman" w:cs="Times New Roman"/>
          <w:b/>
          <w:bCs/>
          <w:sz w:val="28"/>
          <w:szCs w:val="28"/>
          <w:lang w:val="en-US" w:eastAsia="zh-CN"/>
        </w:rPr>
      </w:pPr>
    </w:p>
    <w:p>
      <w:pPr>
        <w:numPr>
          <w:ilvl w:val="0"/>
          <w:numId w:val="0"/>
        </w:numPr>
        <w:rPr>
          <w:rFonts w:hint="eastAsia" w:ascii="Times New Roman" w:hAnsi="Times New Roman" w:cs="Times New Roman"/>
          <w:b/>
          <w:bCs/>
          <w:sz w:val="28"/>
          <w:szCs w:val="28"/>
          <w:lang w:val="en-US" w:eastAsia="zh-CN"/>
        </w:rPr>
      </w:pPr>
    </w:p>
    <w:p>
      <w:pPr>
        <w:numPr>
          <w:ilvl w:val="0"/>
          <w:numId w:val="0"/>
        </w:numPr>
        <w:rPr>
          <w:rFonts w:hint="eastAsia" w:ascii="Times New Roman" w:hAnsi="Times New Roman" w:cs="Times New Roman"/>
          <w:b/>
          <w:bCs/>
          <w:sz w:val="28"/>
          <w:szCs w:val="28"/>
          <w:lang w:val="en-US" w:eastAsia="zh-CN"/>
        </w:rPr>
      </w:pPr>
    </w:p>
    <w:p>
      <w:pPr>
        <w:numPr>
          <w:ilvl w:val="0"/>
          <w:numId w:val="0"/>
        </w:numPr>
        <w:rPr>
          <w:rFonts w:hint="eastAsia" w:ascii="Times New Roman" w:hAnsi="Times New Roman" w:cs="Times New Roman"/>
          <w:b/>
          <w:bCs/>
          <w:sz w:val="28"/>
          <w:szCs w:val="28"/>
          <w:lang w:val="en-US" w:eastAsia="zh-CN"/>
        </w:rPr>
      </w:pPr>
    </w:p>
    <w:p>
      <w:pPr>
        <w:numPr>
          <w:ilvl w:val="0"/>
          <w:numId w:val="0"/>
        </w:numPr>
        <w:rPr>
          <w:rFonts w:hint="eastAsia" w:ascii="Times New Roman" w:hAnsi="Times New Roman" w:cs="Times New Roman"/>
          <w:b/>
          <w:bCs/>
          <w:sz w:val="28"/>
          <w:szCs w:val="28"/>
          <w:lang w:val="en-US" w:eastAsia="zh-CN"/>
        </w:rPr>
      </w:pPr>
    </w:p>
    <w:p>
      <w:pPr>
        <w:numPr>
          <w:ilvl w:val="0"/>
          <w:numId w:val="0"/>
        </w:numPr>
        <w:rPr>
          <w:rFonts w:hint="eastAsia" w:ascii="Times New Roman" w:hAnsi="Times New Roman" w:cs="Times New Roman"/>
          <w:b/>
          <w:bCs/>
          <w:sz w:val="28"/>
          <w:szCs w:val="28"/>
          <w:lang w:val="en-US" w:eastAsia="zh-CN"/>
        </w:rPr>
      </w:pPr>
    </w:p>
    <w:p>
      <w:pPr>
        <w:numPr>
          <w:ilvl w:val="0"/>
          <w:numId w:val="0"/>
        </w:numPr>
        <w:rPr>
          <w:rFonts w:hint="eastAsia" w:ascii="Times New Roman" w:hAnsi="Times New Roman" w:cs="Times New Roman"/>
          <w:b/>
          <w:bCs/>
          <w:sz w:val="28"/>
          <w:szCs w:val="28"/>
          <w:lang w:val="en-US" w:eastAsia="zh-CN"/>
        </w:rPr>
      </w:pPr>
    </w:p>
    <w:p>
      <w:pPr>
        <w:numPr>
          <w:ilvl w:val="0"/>
          <w:numId w:val="0"/>
        </w:numPr>
        <w:rPr>
          <w:rFonts w:hint="eastAsia" w:ascii="Times New Roman" w:hAnsi="Times New Roman" w:cs="Times New Roman"/>
          <w:b/>
          <w:bCs/>
          <w:sz w:val="28"/>
          <w:szCs w:val="28"/>
          <w:lang w:val="en-US" w:eastAsia="zh-CN"/>
        </w:rPr>
      </w:pPr>
    </w:p>
    <w:p>
      <w:pPr>
        <w:numPr>
          <w:ilvl w:val="0"/>
          <w:numId w:val="0"/>
        </w:numPr>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五、商务要求</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1、交货地点：宝鸡合力叉车有限公司</w:t>
      </w:r>
      <w:r>
        <w:rPr>
          <w:rFonts w:hint="eastAsia" w:ascii="宋体" w:hAnsi="宋体" w:cs="宋体"/>
          <w:sz w:val="28"/>
          <w:szCs w:val="28"/>
          <w:lang w:val="en-US" w:eastAsia="zh-CN"/>
        </w:rPr>
        <w:t>小吨位</w:t>
      </w:r>
      <w:r>
        <w:rPr>
          <w:rFonts w:hint="eastAsia" w:ascii="宋体" w:hAnsi="宋体" w:eastAsia="宋体" w:cs="宋体"/>
          <w:sz w:val="28"/>
          <w:szCs w:val="28"/>
          <w:lang w:val="en-US" w:eastAsia="zh-CN"/>
        </w:rPr>
        <w:t>车间指定地点。</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2、交货日期：合同签订后</w:t>
      </w:r>
      <w:r>
        <w:rPr>
          <w:rFonts w:hint="eastAsia" w:ascii="宋体" w:hAnsi="宋体" w:cs="宋体"/>
          <w:sz w:val="28"/>
          <w:szCs w:val="28"/>
          <w:lang w:val="en-US" w:eastAsia="zh-CN"/>
        </w:rPr>
        <w:t>120</w:t>
      </w:r>
      <w:r>
        <w:rPr>
          <w:rFonts w:hint="eastAsia" w:ascii="宋体" w:hAnsi="宋体" w:eastAsia="宋体" w:cs="宋体"/>
          <w:sz w:val="28"/>
          <w:szCs w:val="28"/>
          <w:lang w:val="en-US" w:eastAsia="zh-CN"/>
        </w:rPr>
        <w:t>天内。</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3、价 格：</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3.1. 所有报价均为含税报价，报价应分别体现总价和分项报价。</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3.2. 总价包括设备供应价、运输价（含保险费）、管理费、技术服务费、设备正常使用的设备耗材费、设备装卸费等各项费用。</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3.3. 设备供应价包括包装费及相应的税金和进口元器件的进口关税。</w:t>
      </w:r>
    </w:p>
    <w:p>
      <w:pPr>
        <w:numPr>
          <w:ilvl w:val="0"/>
          <w:numId w:val="0"/>
        </w:num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3.4. 在交货期限或工程工期内，供应总价一次包死，不受国家政策性调价或原材料市场价格变化的影响，并作为最终结算的唯一依据。</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4、货款的支付</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合同签订后预付30%货款，货到后付至60%，同时开具全额增值税发票。验收合格后付至90%，余款10%作为保证金，质保期满后一次付清。</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5、运输、包装与验收</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5.1选择运输风险小、运费低、距离短的运输方式，直到合同指定的交货地点，要求符合运输装卸要求，以保证安全无损的运到收货地点。</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5.2 包装应按国家标准或部颁（专业）标准规定执行，由于包装不善引起的货物锈蚀、损坏、丢失均由中标方承担。</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5.3 包装箱应有明显的包装编号，每件包装箱内应附一份详细的装箱单和质量合格证。</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5.4设备到货后，需方依据供方提供的清单进行验收。对缺件、质量损坏等做出记录，供方负责处理。如属于运输部门造成的设备性能下降、破损、缺件等事故由供方负责解决。</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5.5 由供方负责设备的安装；安装过程中所用工、量、器、检具等均由供方自行准备；</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5.6 设备安装完工后，供方应将产品合格证、使用说明书等技术资料交付给需方。</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5.7 设备验收按照双方签署技术协议具体条款。</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 售后服务</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6.1 供方以优惠的价格提供终身配件。</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6.2 附售后服务承诺书。</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6.3 完善的售后服务措施，良好的备品配件供应能力，高水平的技术维修人员以及高效率的工作作风。</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6.4供方应免费为需方提供人员培训，应细心对操作人员讲解操作规程及方法，并进行详细的操作培训直至熟练为止。</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 质保期</w:t>
      </w:r>
    </w:p>
    <w:p>
      <w:pPr>
        <w:numPr>
          <w:ilvl w:val="0"/>
          <w:numId w:val="0"/>
        </w:numPr>
        <w:rPr>
          <w:rFonts w:hint="eastAsia" w:ascii="宋体" w:hAnsi="宋体" w:eastAsia="宋体" w:cs="宋体"/>
          <w:sz w:val="28"/>
          <w:szCs w:val="28"/>
          <w:lang w:val="en-US" w:eastAsia="zh-CN"/>
        </w:rPr>
      </w:pPr>
      <w:r>
        <w:rPr>
          <w:rFonts w:hint="eastAsia" w:ascii="宋体" w:hAnsi="宋体" w:cs="宋体"/>
          <w:sz w:val="28"/>
          <w:szCs w:val="28"/>
          <w:lang w:val="en-US" w:eastAsia="zh-CN"/>
        </w:rPr>
        <w:t xml:space="preserve">7.1 </w:t>
      </w:r>
      <w:r>
        <w:rPr>
          <w:rFonts w:hint="eastAsia" w:ascii="宋体" w:hAnsi="宋体" w:eastAsia="宋体" w:cs="宋体"/>
          <w:sz w:val="28"/>
          <w:szCs w:val="28"/>
          <w:lang w:val="en-US" w:eastAsia="zh-CN"/>
        </w:rPr>
        <w:t>设备质保期自验收签字之日起开始计算，</w:t>
      </w:r>
      <w:r>
        <w:rPr>
          <w:rFonts w:hint="eastAsia" w:ascii="宋体" w:hAnsi="宋体" w:cs="宋体"/>
          <w:sz w:val="28"/>
          <w:szCs w:val="28"/>
          <w:lang w:val="en-US" w:eastAsia="zh-CN"/>
        </w:rPr>
        <w:t>供方</w:t>
      </w:r>
      <w:r>
        <w:rPr>
          <w:rFonts w:hint="eastAsia" w:ascii="宋体" w:hAnsi="宋体" w:eastAsia="宋体" w:cs="宋体"/>
          <w:sz w:val="28"/>
          <w:szCs w:val="28"/>
          <w:lang w:val="en-US" w:eastAsia="zh-CN"/>
        </w:rPr>
        <w:t>需要提供机械部分至少一年，电气部分两年的质保服务，在产品全寿命周期内提供维修服务。</w:t>
      </w:r>
    </w:p>
    <w:p>
      <w:pPr>
        <w:numPr>
          <w:ilvl w:val="0"/>
          <w:numId w:val="0"/>
        </w:numPr>
        <w:rPr>
          <w:rFonts w:hint="eastAsia" w:ascii="宋体" w:hAnsi="宋体" w:eastAsia="宋体" w:cs="宋体"/>
          <w:sz w:val="28"/>
          <w:szCs w:val="28"/>
          <w:lang w:val="en-US" w:eastAsia="zh-CN"/>
        </w:rPr>
      </w:pPr>
      <w:r>
        <w:rPr>
          <w:rFonts w:hint="eastAsia" w:ascii="宋体" w:hAnsi="宋体" w:cs="宋体"/>
          <w:sz w:val="28"/>
          <w:szCs w:val="28"/>
          <w:lang w:val="en-US" w:eastAsia="zh-CN"/>
        </w:rPr>
        <w:t>7.</w:t>
      </w:r>
      <w:r>
        <w:rPr>
          <w:rFonts w:hint="eastAsia" w:ascii="宋体" w:hAnsi="宋体" w:eastAsia="宋体" w:cs="宋体"/>
          <w:sz w:val="28"/>
          <w:szCs w:val="28"/>
          <w:lang w:val="en-US" w:eastAsia="zh-CN"/>
        </w:rPr>
        <w:t>2、质保期内，如发现质量问题，供方在接到通知后24小时内（以电话或传真日期为准）到现场，如属质量问题供方负责维修、更换或退货，费用由供方负责；如因使用不当造成质量问题，供方应积极配合解决，所需费用由需方承担。</w:t>
      </w:r>
    </w:p>
    <w:p>
      <w:pPr>
        <w:numPr>
          <w:ilvl w:val="0"/>
          <w:numId w:val="0"/>
        </w:numPr>
        <w:rPr>
          <w:rFonts w:hint="eastAsia" w:ascii="宋体" w:hAnsi="宋体" w:eastAsia="宋体" w:cs="宋体"/>
          <w:sz w:val="28"/>
          <w:szCs w:val="28"/>
          <w:lang w:val="en-US" w:eastAsia="zh-CN"/>
        </w:rPr>
      </w:pPr>
      <w:r>
        <w:rPr>
          <w:rFonts w:hint="eastAsia" w:ascii="宋体" w:hAnsi="宋体" w:cs="宋体"/>
          <w:sz w:val="28"/>
          <w:szCs w:val="28"/>
          <w:lang w:val="en-US" w:eastAsia="zh-CN"/>
        </w:rPr>
        <w:t xml:space="preserve">8 </w:t>
      </w:r>
      <w:r>
        <w:rPr>
          <w:rFonts w:hint="eastAsia" w:ascii="宋体" w:hAnsi="宋体" w:eastAsia="宋体" w:cs="宋体"/>
          <w:sz w:val="28"/>
          <w:szCs w:val="28"/>
          <w:lang w:val="en-US" w:eastAsia="zh-CN"/>
        </w:rPr>
        <w:t>合同格式、生效及其他</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7.1设备合同按国家合同法有关规定格式签订。</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7.2合同生效后，供需双方都应严格履行合同，如出现问题应按照《中华人民共和国合同法》等有关规定办理。</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7.3合同在执行过程中出现的未尽事宜，双方在不违背合同</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询价采购文件的原则下协商解决，协商结果以“纪要”形式为合同的附件与合同具有同等法律效力。</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7.4询价采购文件、应答文件均为合同不可分割的部分，如发现供货合同与上述文件不一致时，宝鸡合力叉车有限公司有权制止签订合同或终止合同。</w:t>
      </w:r>
    </w:p>
    <w:p>
      <w:pPr>
        <w:numPr>
          <w:ilvl w:val="0"/>
          <w:numId w:val="0"/>
        </w:numPr>
        <w:rPr>
          <w:rFonts w:hint="eastAsia" w:ascii="宋体" w:hAnsi="宋体" w:eastAsia="宋体" w:cs="宋体"/>
          <w:b/>
          <w:bCs/>
          <w:sz w:val="28"/>
          <w:szCs w:val="28"/>
          <w:lang w:val="en-US" w:eastAsia="zh-CN"/>
        </w:rPr>
      </w:pPr>
    </w:p>
    <w:p>
      <w:pPr>
        <w:numPr>
          <w:ilvl w:val="0"/>
          <w:numId w:val="0"/>
        </w:numPr>
        <w:rPr>
          <w:rFonts w:hint="eastAsia" w:ascii="宋体" w:hAnsi="宋体" w:eastAsia="宋体" w:cs="宋体"/>
          <w:b/>
          <w:bCs/>
          <w:sz w:val="28"/>
          <w:szCs w:val="28"/>
          <w:lang w:val="en-US" w:eastAsia="zh-CN"/>
        </w:rPr>
      </w:pPr>
    </w:p>
    <w:p>
      <w:pPr>
        <w:numPr>
          <w:ilvl w:val="0"/>
          <w:numId w:val="0"/>
        </w:numPr>
        <w:rPr>
          <w:rFonts w:hint="eastAsia" w:ascii="宋体" w:hAnsi="宋体" w:eastAsia="宋体" w:cs="宋体"/>
          <w:b/>
          <w:bCs/>
          <w:sz w:val="28"/>
          <w:szCs w:val="28"/>
          <w:lang w:val="en-US" w:eastAsia="zh-CN"/>
        </w:rPr>
      </w:pPr>
    </w:p>
    <w:p>
      <w:pPr>
        <w:numPr>
          <w:ilvl w:val="0"/>
          <w:numId w:val="0"/>
        </w:numPr>
        <w:rPr>
          <w:rFonts w:hint="eastAsia" w:ascii="宋体" w:hAnsi="宋体" w:eastAsia="宋体" w:cs="宋体"/>
          <w:b/>
          <w:bCs/>
          <w:sz w:val="28"/>
          <w:szCs w:val="28"/>
          <w:lang w:val="en-US" w:eastAsia="zh-CN"/>
        </w:rPr>
      </w:pPr>
    </w:p>
    <w:p>
      <w:pPr>
        <w:numPr>
          <w:ilvl w:val="0"/>
          <w:numId w:val="0"/>
        </w:numPr>
        <w:rPr>
          <w:rFonts w:hint="eastAsia" w:ascii="宋体" w:hAnsi="宋体" w:eastAsia="宋体" w:cs="宋体"/>
          <w:b/>
          <w:bCs/>
          <w:sz w:val="28"/>
          <w:szCs w:val="28"/>
          <w:lang w:val="en-US" w:eastAsia="zh-CN"/>
        </w:rPr>
      </w:pPr>
    </w:p>
    <w:p>
      <w:pPr>
        <w:numPr>
          <w:ilvl w:val="0"/>
          <w:numId w:val="0"/>
        </w:numPr>
        <w:rPr>
          <w:rFonts w:hint="eastAsia" w:ascii="宋体" w:hAnsi="宋体" w:eastAsia="宋体" w:cs="宋体"/>
          <w:b/>
          <w:bCs/>
          <w:sz w:val="28"/>
          <w:szCs w:val="28"/>
          <w:lang w:val="en-US" w:eastAsia="zh-CN"/>
        </w:rPr>
      </w:pPr>
    </w:p>
    <w:p>
      <w:pPr>
        <w:numPr>
          <w:ilvl w:val="0"/>
          <w:numId w:val="0"/>
        </w:numPr>
        <w:rPr>
          <w:rFonts w:hint="eastAsia" w:ascii="宋体" w:hAnsi="宋体" w:eastAsia="宋体" w:cs="宋体"/>
          <w:b/>
          <w:bCs/>
          <w:sz w:val="28"/>
          <w:szCs w:val="28"/>
          <w:lang w:val="en-US" w:eastAsia="zh-CN"/>
        </w:rPr>
      </w:pPr>
    </w:p>
    <w:p>
      <w:pPr>
        <w:numPr>
          <w:ilvl w:val="0"/>
          <w:numId w:val="0"/>
        </w:numPr>
        <w:rPr>
          <w:rFonts w:hint="eastAsia" w:ascii="宋体" w:hAnsi="宋体" w:eastAsia="宋体" w:cs="宋体"/>
          <w:b/>
          <w:bCs/>
          <w:sz w:val="28"/>
          <w:szCs w:val="28"/>
          <w:lang w:val="en-US" w:eastAsia="zh-CN"/>
        </w:rPr>
      </w:pPr>
    </w:p>
    <w:p>
      <w:pPr>
        <w:numPr>
          <w:ilvl w:val="0"/>
          <w:numId w:val="0"/>
        </w:numPr>
        <w:rPr>
          <w:rFonts w:hint="eastAsia" w:ascii="宋体" w:hAnsi="宋体" w:eastAsia="宋体" w:cs="宋体"/>
          <w:b/>
          <w:bCs/>
          <w:sz w:val="28"/>
          <w:szCs w:val="28"/>
          <w:lang w:val="en-US" w:eastAsia="zh-CN"/>
        </w:rPr>
      </w:pPr>
    </w:p>
    <w:p>
      <w:pPr>
        <w:numPr>
          <w:ilvl w:val="0"/>
          <w:numId w:val="0"/>
        </w:numPr>
        <w:rPr>
          <w:rFonts w:hint="eastAsia" w:ascii="宋体" w:hAnsi="宋体" w:eastAsia="宋体" w:cs="宋体"/>
          <w:b/>
          <w:bCs/>
          <w:sz w:val="28"/>
          <w:szCs w:val="28"/>
          <w:lang w:val="en-US" w:eastAsia="zh-CN"/>
        </w:rPr>
      </w:pPr>
    </w:p>
    <w:p>
      <w:pPr>
        <w:numPr>
          <w:ilvl w:val="0"/>
          <w:numId w:val="0"/>
        </w:numPr>
        <w:rPr>
          <w:rFonts w:hint="eastAsia" w:ascii="宋体" w:hAnsi="宋体" w:eastAsia="宋体" w:cs="宋体"/>
          <w:b/>
          <w:bCs/>
          <w:sz w:val="28"/>
          <w:szCs w:val="28"/>
          <w:lang w:val="en-US" w:eastAsia="zh-CN"/>
        </w:rPr>
      </w:pPr>
    </w:p>
    <w:p>
      <w:pPr>
        <w:numPr>
          <w:ilvl w:val="0"/>
          <w:numId w:val="0"/>
        </w:numPr>
        <w:rPr>
          <w:rFonts w:hint="eastAsia" w:ascii="宋体" w:hAnsi="宋体" w:eastAsia="宋体" w:cs="宋体"/>
          <w:b/>
          <w:bCs/>
          <w:sz w:val="28"/>
          <w:szCs w:val="28"/>
          <w:lang w:val="en-US" w:eastAsia="zh-CN"/>
        </w:rPr>
      </w:pPr>
    </w:p>
    <w:p>
      <w:pPr>
        <w:numPr>
          <w:ilvl w:val="0"/>
          <w:numId w:val="0"/>
        </w:numP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六、其他要求</w:t>
      </w:r>
    </w:p>
    <w:p>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6.1 供方需对</w:t>
      </w:r>
      <w:r>
        <w:rPr>
          <w:rFonts w:hint="eastAsia" w:ascii="宋体" w:hAnsi="宋体" w:cs="宋体"/>
          <w:kern w:val="2"/>
          <w:sz w:val="28"/>
          <w:szCs w:val="28"/>
          <w:lang w:val="en-US" w:eastAsia="zh-CN" w:bidi="ar-SA"/>
        </w:rPr>
        <w:t>车体自动化输送方案布局、输送形式、机械手抓取方式等</w:t>
      </w:r>
      <w:r>
        <w:rPr>
          <w:rFonts w:hint="eastAsia" w:ascii="宋体" w:hAnsi="宋体" w:eastAsia="宋体" w:cs="宋体"/>
          <w:kern w:val="2"/>
          <w:sz w:val="28"/>
          <w:szCs w:val="28"/>
          <w:lang w:val="en-US" w:eastAsia="zh-CN" w:bidi="ar-SA"/>
        </w:rPr>
        <w:t>进行详细说明，要求方式合理、可靠，可行性高。</w:t>
      </w:r>
    </w:p>
    <w:p>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cs="宋体"/>
          <w:sz w:val="28"/>
          <w:szCs w:val="28"/>
          <w:lang w:val="en-US" w:eastAsia="zh-CN"/>
        </w:rPr>
      </w:pPr>
      <w:r>
        <w:rPr>
          <w:rFonts w:hint="eastAsia" w:ascii="宋体" w:hAnsi="宋体" w:cs="宋体"/>
          <w:kern w:val="2"/>
          <w:sz w:val="28"/>
          <w:szCs w:val="28"/>
          <w:lang w:val="en-US" w:eastAsia="zh-CN" w:bidi="ar-SA"/>
        </w:rPr>
        <w:t>6.2 供方需提供耗材及备件的采购厂家及价格，并保证在设备正常运行期间以</w:t>
      </w:r>
      <w:r>
        <w:rPr>
          <w:rFonts w:hint="eastAsia" w:ascii="宋体" w:hAnsi="宋体" w:eastAsia="宋体" w:cs="宋体"/>
          <w:sz w:val="28"/>
          <w:szCs w:val="28"/>
          <w:lang w:val="en-US" w:eastAsia="zh-CN"/>
        </w:rPr>
        <w:t>优惠的价格提供</w:t>
      </w:r>
      <w:r>
        <w:rPr>
          <w:rFonts w:hint="eastAsia" w:ascii="宋体" w:hAnsi="宋体" w:cs="宋体"/>
          <w:sz w:val="28"/>
          <w:szCs w:val="28"/>
          <w:lang w:val="en-US" w:eastAsia="zh-CN"/>
        </w:rPr>
        <w:t>耗材及备件。</w:t>
      </w:r>
    </w:p>
    <w:p>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cs="宋体"/>
          <w:sz w:val="28"/>
          <w:szCs w:val="28"/>
          <w:lang w:val="en-US" w:eastAsia="zh-CN"/>
        </w:rPr>
      </w:pPr>
      <w:r>
        <w:rPr>
          <w:rFonts w:hint="eastAsia" w:ascii="宋体" w:hAnsi="宋体" w:cs="宋体"/>
          <w:sz w:val="28"/>
          <w:szCs w:val="28"/>
          <w:lang w:val="en-US" w:eastAsia="zh-CN"/>
        </w:rPr>
        <w:t>6.4 设备技术要求只是通用性要求，供方可根据自身特点提供最佳设备，满足或高于设备使用要求。</w:t>
      </w:r>
    </w:p>
    <w:p>
      <w:pPr>
        <w:numPr>
          <w:ilvl w:val="0"/>
          <w:numId w:val="0"/>
        </w:numPr>
        <w:rPr>
          <w:rFonts w:hint="eastAsia" w:ascii="宋体" w:hAnsi="宋体" w:eastAsia="宋体" w:cs="宋体"/>
          <w:sz w:val="28"/>
          <w:szCs w:val="28"/>
          <w:lang w:val="en-US" w:eastAsia="zh-CN"/>
        </w:rPr>
      </w:pPr>
    </w:p>
    <w:bookmarkEnd w:id="0"/>
    <w:p>
      <w:pPr>
        <w:pStyle w:val="5"/>
        <w:snapToGrid w:val="0"/>
        <w:spacing w:line="480" w:lineRule="exact"/>
        <w:ind w:firstLine="480" w:firstLineChars="200"/>
        <w:rPr>
          <w:rFonts w:hAnsi="宋体"/>
          <w:color w:val="00000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Che">
    <w:altName w:val="Malgun Gothic"/>
    <w:panose1 w:val="02030609000101010101"/>
    <w:charset w:val="81"/>
    <w:family w:val="modern"/>
    <w:pitch w:val="default"/>
    <w:sig w:usb0="00000000" w:usb1="00000000" w:usb2="00000030" w:usb3="00000000" w:csb0="4008009F" w:csb1="DFD7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67F310"/>
    <w:multiLevelType w:val="singleLevel"/>
    <w:tmpl w:val="D367F310"/>
    <w:lvl w:ilvl="0" w:tentative="0">
      <w:start w:val="1"/>
      <w:numFmt w:val="decimal"/>
      <w:suff w:val="space"/>
      <w:lvlText w:val="（%1）"/>
      <w:lvlJc w:val="left"/>
    </w:lvl>
  </w:abstractNum>
  <w:abstractNum w:abstractNumId="1">
    <w:nsid w:val="13679DF3"/>
    <w:multiLevelType w:val="singleLevel"/>
    <w:tmpl w:val="13679DF3"/>
    <w:lvl w:ilvl="0" w:tentative="0">
      <w:start w:val="1"/>
      <w:numFmt w:val="decimal"/>
      <w:suff w:val="nothing"/>
      <w:lvlText w:val="%1、"/>
      <w:lvlJc w:val="left"/>
    </w:lvl>
  </w:abstractNum>
  <w:abstractNum w:abstractNumId="2">
    <w:nsid w:val="58EB4096"/>
    <w:multiLevelType w:val="singleLevel"/>
    <w:tmpl w:val="58EB4096"/>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26B"/>
    <w:rsid w:val="00732807"/>
    <w:rsid w:val="00810A41"/>
    <w:rsid w:val="009563B0"/>
    <w:rsid w:val="00C25A7E"/>
    <w:rsid w:val="00C5326B"/>
    <w:rsid w:val="00D82F0A"/>
    <w:rsid w:val="01696EE4"/>
    <w:rsid w:val="01911493"/>
    <w:rsid w:val="01AC5071"/>
    <w:rsid w:val="022B3EC1"/>
    <w:rsid w:val="025A7D9A"/>
    <w:rsid w:val="02786FFD"/>
    <w:rsid w:val="02A70724"/>
    <w:rsid w:val="02AD4945"/>
    <w:rsid w:val="02BC5E31"/>
    <w:rsid w:val="03274ABA"/>
    <w:rsid w:val="0373459E"/>
    <w:rsid w:val="03B0026D"/>
    <w:rsid w:val="04086E21"/>
    <w:rsid w:val="04284AD9"/>
    <w:rsid w:val="049243D5"/>
    <w:rsid w:val="054E18FA"/>
    <w:rsid w:val="057B7148"/>
    <w:rsid w:val="07276B4E"/>
    <w:rsid w:val="077C1BDA"/>
    <w:rsid w:val="08A82035"/>
    <w:rsid w:val="08BA3335"/>
    <w:rsid w:val="09237AA3"/>
    <w:rsid w:val="09AB7B1D"/>
    <w:rsid w:val="0A16484D"/>
    <w:rsid w:val="0A20624F"/>
    <w:rsid w:val="0D99518E"/>
    <w:rsid w:val="0DB86027"/>
    <w:rsid w:val="0DDC1349"/>
    <w:rsid w:val="0E0833AF"/>
    <w:rsid w:val="0E810776"/>
    <w:rsid w:val="0E812B15"/>
    <w:rsid w:val="0EFD69FF"/>
    <w:rsid w:val="0F0A5C84"/>
    <w:rsid w:val="0F4F3183"/>
    <w:rsid w:val="105C1FE5"/>
    <w:rsid w:val="106B5088"/>
    <w:rsid w:val="10B25C57"/>
    <w:rsid w:val="11561C6E"/>
    <w:rsid w:val="11A02424"/>
    <w:rsid w:val="12314E25"/>
    <w:rsid w:val="13352E0A"/>
    <w:rsid w:val="133B3627"/>
    <w:rsid w:val="13D85437"/>
    <w:rsid w:val="14DE301C"/>
    <w:rsid w:val="15861E0B"/>
    <w:rsid w:val="16352C73"/>
    <w:rsid w:val="167003B3"/>
    <w:rsid w:val="16883E74"/>
    <w:rsid w:val="16BA50B9"/>
    <w:rsid w:val="16EB1549"/>
    <w:rsid w:val="176452CF"/>
    <w:rsid w:val="177C3600"/>
    <w:rsid w:val="17850BDD"/>
    <w:rsid w:val="179C2359"/>
    <w:rsid w:val="18550351"/>
    <w:rsid w:val="188F3BB6"/>
    <w:rsid w:val="18CB13B4"/>
    <w:rsid w:val="197B2F5B"/>
    <w:rsid w:val="199428C5"/>
    <w:rsid w:val="1A903D64"/>
    <w:rsid w:val="1A922DDB"/>
    <w:rsid w:val="1B0377E5"/>
    <w:rsid w:val="1B8D4B73"/>
    <w:rsid w:val="1BA3756A"/>
    <w:rsid w:val="1C791688"/>
    <w:rsid w:val="1CAB3654"/>
    <w:rsid w:val="1CEA3F5F"/>
    <w:rsid w:val="1D47297A"/>
    <w:rsid w:val="1D4A4F8A"/>
    <w:rsid w:val="1D6010D9"/>
    <w:rsid w:val="1EDD36B3"/>
    <w:rsid w:val="1F5B561C"/>
    <w:rsid w:val="1F8C0A8A"/>
    <w:rsid w:val="1FDA7B06"/>
    <w:rsid w:val="1FF1371D"/>
    <w:rsid w:val="202D57D3"/>
    <w:rsid w:val="204722B0"/>
    <w:rsid w:val="211128FB"/>
    <w:rsid w:val="214B18C5"/>
    <w:rsid w:val="215A155E"/>
    <w:rsid w:val="21771A54"/>
    <w:rsid w:val="22DC4AF4"/>
    <w:rsid w:val="22FA5D26"/>
    <w:rsid w:val="231B482E"/>
    <w:rsid w:val="232D0D0C"/>
    <w:rsid w:val="240D3F99"/>
    <w:rsid w:val="24AB0D13"/>
    <w:rsid w:val="24F97C4C"/>
    <w:rsid w:val="257A040F"/>
    <w:rsid w:val="25FC5EBE"/>
    <w:rsid w:val="26ED789E"/>
    <w:rsid w:val="27A67EEB"/>
    <w:rsid w:val="281D089F"/>
    <w:rsid w:val="283C476E"/>
    <w:rsid w:val="28721752"/>
    <w:rsid w:val="289E3FAC"/>
    <w:rsid w:val="29FC78C2"/>
    <w:rsid w:val="2A102546"/>
    <w:rsid w:val="2A401371"/>
    <w:rsid w:val="2A7534F0"/>
    <w:rsid w:val="2A903351"/>
    <w:rsid w:val="2ACE30E6"/>
    <w:rsid w:val="2B0629FA"/>
    <w:rsid w:val="2B4B157F"/>
    <w:rsid w:val="2B7E216B"/>
    <w:rsid w:val="2B980F7F"/>
    <w:rsid w:val="2BAA415B"/>
    <w:rsid w:val="2BAE7456"/>
    <w:rsid w:val="2C5E04D3"/>
    <w:rsid w:val="2C6456F7"/>
    <w:rsid w:val="2CA55E77"/>
    <w:rsid w:val="2D20717B"/>
    <w:rsid w:val="2D396002"/>
    <w:rsid w:val="2E0039BD"/>
    <w:rsid w:val="2EC63900"/>
    <w:rsid w:val="2ECE1288"/>
    <w:rsid w:val="2EDB00E1"/>
    <w:rsid w:val="2F5E4F31"/>
    <w:rsid w:val="2F837273"/>
    <w:rsid w:val="2F8E3524"/>
    <w:rsid w:val="2FAD0F57"/>
    <w:rsid w:val="2FCD7158"/>
    <w:rsid w:val="2FEA3C92"/>
    <w:rsid w:val="30F41CEC"/>
    <w:rsid w:val="312735CB"/>
    <w:rsid w:val="3158034D"/>
    <w:rsid w:val="317C296B"/>
    <w:rsid w:val="31C13E62"/>
    <w:rsid w:val="31CF5F32"/>
    <w:rsid w:val="31EB5691"/>
    <w:rsid w:val="32450145"/>
    <w:rsid w:val="32481514"/>
    <w:rsid w:val="32675C91"/>
    <w:rsid w:val="328B7CFF"/>
    <w:rsid w:val="330C1EF0"/>
    <w:rsid w:val="33376F69"/>
    <w:rsid w:val="333B252E"/>
    <w:rsid w:val="336A6F5F"/>
    <w:rsid w:val="33752837"/>
    <w:rsid w:val="33A55744"/>
    <w:rsid w:val="35285DC5"/>
    <w:rsid w:val="35BC107E"/>
    <w:rsid w:val="361A61DC"/>
    <w:rsid w:val="36A96D32"/>
    <w:rsid w:val="36EB030E"/>
    <w:rsid w:val="398612B0"/>
    <w:rsid w:val="39AA6EAE"/>
    <w:rsid w:val="39E643CF"/>
    <w:rsid w:val="3A013F6F"/>
    <w:rsid w:val="3A7F059B"/>
    <w:rsid w:val="3AAD60EF"/>
    <w:rsid w:val="3ACF2964"/>
    <w:rsid w:val="3AFC2DE7"/>
    <w:rsid w:val="3B312FBB"/>
    <w:rsid w:val="3B9D29E1"/>
    <w:rsid w:val="3BBA6DAB"/>
    <w:rsid w:val="3BF0242F"/>
    <w:rsid w:val="3C3F3A76"/>
    <w:rsid w:val="3C4F6DF8"/>
    <w:rsid w:val="3D357D84"/>
    <w:rsid w:val="3D4A03DF"/>
    <w:rsid w:val="3D501AF9"/>
    <w:rsid w:val="3D754F1B"/>
    <w:rsid w:val="3DD83DB8"/>
    <w:rsid w:val="3DF35761"/>
    <w:rsid w:val="3E211DD6"/>
    <w:rsid w:val="3E345D7D"/>
    <w:rsid w:val="3E6F409A"/>
    <w:rsid w:val="3F0004A3"/>
    <w:rsid w:val="3F7146D6"/>
    <w:rsid w:val="40EB367C"/>
    <w:rsid w:val="4159470A"/>
    <w:rsid w:val="41A102A5"/>
    <w:rsid w:val="41E55B74"/>
    <w:rsid w:val="42052FBF"/>
    <w:rsid w:val="423E524C"/>
    <w:rsid w:val="431B5902"/>
    <w:rsid w:val="435567D2"/>
    <w:rsid w:val="43597820"/>
    <w:rsid w:val="435C76ED"/>
    <w:rsid w:val="437721F8"/>
    <w:rsid w:val="43C538DF"/>
    <w:rsid w:val="43D0233A"/>
    <w:rsid w:val="43DB11EA"/>
    <w:rsid w:val="44B1544B"/>
    <w:rsid w:val="450364CA"/>
    <w:rsid w:val="45374EA9"/>
    <w:rsid w:val="4600779C"/>
    <w:rsid w:val="462C4D88"/>
    <w:rsid w:val="47241D4B"/>
    <w:rsid w:val="47631E88"/>
    <w:rsid w:val="476C0EBF"/>
    <w:rsid w:val="479944D3"/>
    <w:rsid w:val="47A73BF7"/>
    <w:rsid w:val="480C4A7A"/>
    <w:rsid w:val="483F2971"/>
    <w:rsid w:val="48855E49"/>
    <w:rsid w:val="489954F9"/>
    <w:rsid w:val="495D487D"/>
    <w:rsid w:val="49741588"/>
    <w:rsid w:val="49D946CA"/>
    <w:rsid w:val="49F76C08"/>
    <w:rsid w:val="4A0341D6"/>
    <w:rsid w:val="4A79045F"/>
    <w:rsid w:val="4B047E5B"/>
    <w:rsid w:val="4B466927"/>
    <w:rsid w:val="4C671ACA"/>
    <w:rsid w:val="4D2419A8"/>
    <w:rsid w:val="4D843CCE"/>
    <w:rsid w:val="4DE240EA"/>
    <w:rsid w:val="4E1A49E6"/>
    <w:rsid w:val="4E6661CE"/>
    <w:rsid w:val="4EB922FB"/>
    <w:rsid w:val="504A4A16"/>
    <w:rsid w:val="504D225C"/>
    <w:rsid w:val="50D379BE"/>
    <w:rsid w:val="50DF061F"/>
    <w:rsid w:val="51924A9E"/>
    <w:rsid w:val="51AF7815"/>
    <w:rsid w:val="5258304F"/>
    <w:rsid w:val="54225F38"/>
    <w:rsid w:val="54E839EC"/>
    <w:rsid w:val="54EC4AC7"/>
    <w:rsid w:val="54FD6F03"/>
    <w:rsid w:val="551024DA"/>
    <w:rsid w:val="560542AF"/>
    <w:rsid w:val="56835DE9"/>
    <w:rsid w:val="574B0C92"/>
    <w:rsid w:val="578601B5"/>
    <w:rsid w:val="57946D80"/>
    <w:rsid w:val="57B0357E"/>
    <w:rsid w:val="58CB6DE3"/>
    <w:rsid w:val="590414A8"/>
    <w:rsid w:val="592D51C5"/>
    <w:rsid w:val="59F00E96"/>
    <w:rsid w:val="5A8644D7"/>
    <w:rsid w:val="5C6010DB"/>
    <w:rsid w:val="5CAD106D"/>
    <w:rsid w:val="5CBB22F7"/>
    <w:rsid w:val="5CE55664"/>
    <w:rsid w:val="5D275E9C"/>
    <w:rsid w:val="5E91700C"/>
    <w:rsid w:val="5FB70A5D"/>
    <w:rsid w:val="5FBD11BF"/>
    <w:rsid w:val="5FC40709"/>
    <w:rsid w:val="60004B46"/>
    <w:rsid w:val="60A250B7"/>
    <w:rsid w:val="620D1376"/>
    <w:rsid w:val="622C1007"/>
    <w:rsid w:val="625570B9"/>
    <w:rsid w:val="62873250"/>
    <w:rsid w:val="634A7D83"/>
    <w:rsid w:val="639475B9"/>
    <w:rsid w:val="63F92127"/>
    <w:rsid w:val="6454411C"/>
    <w:rsid w:val="64D47704"/>
    <w:rsid w:val="65614BEC"/>
    <w:rsid w:val="65B0507D"/>
    <w:rsid w:val="66203C8E"/>
    <w:rsid w:val="66C83603"/>
    <w:rsid w:val="68BD5A52"/>
    <w:rsid w:val="68ED6847"/>
    <w:rsid w:val="699E45FD"/>
    <w:rsid w:val="69D178FF"/>
    <w:rsid w:val="6A8C6483"/>
    <w:rsid w:val="6B64567D"/>
    <w:rsid w:val="6B8E3CB3"/>
    <w:rsid w:val="6B954F7D"/>
    <w:rsid w:val="6BA25901"/>
    <w:rsid w:val="6DB56AC6"/>
    <w:rsid w:val="6E4A6526"/>
    <w:rsid w:val="6EA6765D"/>
    <w:rsid w:val="6ECE60FB"/>
    <w:rsid w:val="6F575CEE"/>
    <w:rsid w:val="6FAA07CD"/>
    <w:rsid w:val="70847D49"/>
    <w:rsid w:val="70A10C01"/>
    <w:rsid w:val="70B01D2C"/>
    <w:rsid w:val="714B2929"/>
    <w:rsid w:val="715E52BD"/>
    <w:rsid w:val="71D505CB"/>
    <w:rsid w:val="721C7E37"/>
    <w:rsid w:val="729E1DC3"/>
    <w:rsid w:val="72A77D3F"/>
    <w:rsid w:val="72EA0EDF"/>
    <w:rsid w:val="73691271"/>
    <w:rsid w:val="737013F7"/>
    <w:rsid w:val="7381424D"/>
    <w:rsid w:val="73D6728C"/>
    <w:rsid w:val="740C53BA"/>
    <w:rsid w:val="74780790"/>
    <w:rsid w:val="75466E67"/>
    <w:rsid w:val="75F42386"/>
    <w:rsid w:val="76F55EE3"/>
    <w:rsid w:val="79771F34"/>
    <w:rsid w:val="7A9007D3"/>
    <w:rsid w:val="7B414B20"/>
    <w:rsid w:val="7C7C3724"/>
    <w:rsid w:val="7CCD46B8"/>
    <w:rsid w:val="7CF83838"/>
    <w:rsid w:val="7DE4315F"/>
    <w:rsid w:val="7E1F556E"/>
    <w:rsid w:val="7E6B27E9"/>
    <w:rsid w:val="7EAA2BC1"/>
    <w:rsid w:val="7EE458D3"/>
    <w:rsid w:val="7F4954CF"/>
    <w:rsid w:val="7FB8681E"/>
    <w:rsid w:val="7FC806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0"/>
    <w:pPr>
      <w:tabs>
        <w:tab w:val="left" w:pos="1176"/>
      </w:tabs>
      <w:spacing w:after="120"/>
      <w:ind w:left="420" w:leftChars="200" w:firstLine="420" w:firstLineChars="200"/>
    </w:pPr>
    <w:rPr>
      <w:rFonts w:ascii="Calibri" w:hAnsi="Calibri"/>
    </w:rPr>
  </w:style>
  <w:style w:type="paragraph" w:styleId="3">
    <w:name w:val="Body Text Indent"/>
    <w:basedOn w:val="1"/>
    <w:next w:val="4"/>
    <w:qFormat/>
    <w:uiPriority w:val="0"/>
    <w:pPr>
      <w:tabs>
        <w:tab w:val="left" w:pos="1176"/>
      </w:tabs>
      <w:spacing w:line="360" w:lineRule="auto"/>
      <w:ind w:firstLine="437"/>
    </w:pPr>
    <w:rPr>
      <w:kern w:val="0"/>
      <w:sz w:val="20"/>
    </w:rPr>
  </w:style>
  <w:style w:type="paragraph" w:styleId="4">
    <w:name w:val="envelope return"/>
    <w:basedOn w:val="1"/>
    <w:qFormat/>
    <w:uiPriority w:val="0"/>
    <w:pPr>
      <w:wordWrap w:val="0"/>
      <w:adjustRightInd w:val="0"/>
      <w:snapToGrid w:val="0"/>
      <w:spacing w:line="360" w:lineRule="atLeast"/>
      <w:textAlignment w:val="baseline"/>
    </w:pPr>
    <w:rPr>
      <w:rFonts w:ascii="Arial" w:hAnsi="Arial" w:eastAsia="BatangChe"/>
      <w:kern w:val="0"/>
      <w:sz w:val="20"/>
      <w:lang w:eastAsia="ko-KR"/>
    </w:r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371</Words>
  <Characters>2116</Characters>
  <Lines>17</Lines>
  <Paragraphs>4</Paragraphs>
  <TotalTime>195</TotalTime>
  <ScaleCrop>false</ScaleCrop>
  <LinksUpToDate>false</LinksUpToDate>
  <CharactersWithSpaces>2483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2020-02-13T05:54:00Z</dcterms:created>
  <dc:creator>zhangxiaogang</dc:creator>
  <cp:lastModifiedBy>zhangxiaogang</cp:lastModifiedBy>
  <dcterms:modified xsi:type="dcterms:W3CDTF">2022-05-23T06:54:34Z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